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45125D" w:rsidP="00D8770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E0566E" w:rsidP="00D8770C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45125D" w:rsidRDefault="0045125D" w:rsidP="00D8770C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 xml:space="preserve">    </w:t>
      </w:r>
      <w:r w:rsidR="006F6B9B" w:rsidRPr="00E45D3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Rheumatologic Disorders</w:t>
      </w:r>
    </w:p>
    <w:p w:rsidR="00E0566E" w:rsidRPr="006F6B9B" w:rsidRDefault="0045125D" w:rsidP="00D8770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 w:rsidRPr="006F6B9B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</w:t>
      </w:r>
      <w:r w:rsidR="006F6B9B" w:rsidRPr="006F6B9B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Osteoarthritis</w:t>
      </w:r>
      <w:r w:rsidRPr="006F6B9B">
        <w:rPr>
          <w:rFonts w:asciiTheme="majorBidi" w:eastAsia="Times New Roman" w:hAnsiTheme="majorBidi" w:cstheme="majorBidi" w:hint="cs"/>
          <w:b/>
          <w:bCs/>
          <w:color w:val="0000FF"/>
          <w:sz w:val="32"/>
          <w:szCs w:val="32"/>
          <w:rtl/>
          <w:lang w:bidi="ar-IQ"/>
        </w:rPr>
        <w:t xml:space="preserve">   </w:t>
      </w:r>
    </w:p>
    <w:p w:rsidR="0045125D" w:rsidRPr="000746CE" w:rsidRDefault="0045125D" w:rsidP="006A6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8D5E15" w:rsidRPr="000746CE" w:rsidRDefault="00FC2D62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Osteoarthritis (OA) is a common, progressive </w:t>
      </w:r>
      <w:r w:rsidRPr="002468BE">
        <w:rPr>
          <w:rFonts w:asciiTheme="majorBidi" w:hAnsiTheme="majorBidi" w:cstheme="majorBidi"/>
          <w:b/>
          <w:bCs/>
          <w:color w:val="333333"/>
          <w:sz w:val="28"/>
          <w:szCs w:val="28"/>
        </w:rPr>
        <w:t>disorder affecting primarily weight-bearing diarthrodial joints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, characterized by progressive</w:t>
      </w:r>
      <w:r w:rsidR="005332A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2468BE">
        <w:rPr>
          <w:rFonts w:asciiTheme="majorBidi" w:hAnsiTheme="majorBidi" w:cstheme="majorBidi"/>
          <w:b/>
          <w:bCs/>
          <w:color w:val="333333"/>
          <w:sz w:val="28"/>
          <w:szCs w:val="28"/>
        </w:rPr>
        <w:t>destruction of articular cartilage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, osteophyte formation, pain, limitation of motion, deformity, and disability.</w:t>
      </w:r>
    </w:p>
    <w:p w:rsidR="008D5E15" w:rsidRPr="004A73A6" w:rsidRDefault="008D5E15" w:rsidP="004A73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6A6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Pathophysiology   </w:t>
      </w:r>
    </w:p>
    <w:p w:rsidR="00FC2D62" w:rsidRPr="005332A3" w:rsidRDefault="005332A3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FC2D62" w:rsidRPr="00472F07">
        <w:rPr>
          <w:rFonts w:asciiTheme="majorBidi" w:hAnsiTheme="majorBidi" w:cstheme="majorBidi"/>
          <w:b/>
          <w:bCs/>
          <w:color w:val="333333"/>
          <w:sz w:val="28"/>
          <w:szCs w:val="28"/>
        </w:rPr>
        <w:t>Primary (idiopathic) OA, the more common type, has no known cause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472F07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Secondary OA is associated with a known cause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such </w:t>
      </w:r>
      <w:r w:rsidR="00FC2D62" w:rsidRPr="00D67390">
        <w:rPr>
          <w:rFonts w:asciiTheme="majorBidi" w:hAnsiTheme="majorBidi" w:cstheme="majorBidi"/>
          <w:color w:val="333333"/>
          <w:sz w:val="28"/>
          <w:szCs w:val="28"/>
        </w:rPr>
        <w:t xml:space="preserve">as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trauma</w:t>
      </w:r>
      <w:r w:rsidR="00D67390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FC2D62" w:rsidRPr="00472F07">
        <w:rPr>
          <w:rFonts w:asciiTheme="majorBidi" w:hAnsiTheme="majorBidi" w:cstheme="majorBidi"/>
          <w:b/>
          <w:bCs/>
          <w:color w:val="333333"/>
          <w:sz w:val="28"/>
          <w:szCs w:val="28"/>
        </w:rPr>
        <w:t>OA usually begins with damage to articular cartilage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through injury, excessive joint loading from obesity or other reasons, or joint instability.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0759B1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5332A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Cartilage loss causes </w:t>
      </w:r>
      <w:r w:rsidR="00FC2D62" w:rsidRPr="00472F07">
        <w:rPr>
          <w:rFonts w:asciiTheme="majorBidi" w:hAnsiTheme="majorBidi" w:cstheme="majorBidi"/>
          <w:b/>
          <w:bCs/>
          <w:color w:val="333333"/>
          <w:sz w:val="28"/>
          <w:szCs w:val="28"/>
        </w:rPr>
        <w:t>joint space narrowing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and painful, deformed joints. </w:t>
      </w:r>
      <w:r w:rsidR="00FC2D62" w:rsidRPr="00472F07">
        <w:rPr>
          <w:rFonts w:asciiTheme="majorBidi" w:hAnsiTheme="majorBidi" w:cstheme="majorBidi"/>
          <w:b/>
          <w:bCs/>
          <w:color w:val="333333"/>
          <w:sz w:val="28"/>
          <w:szCs w:val="28"/>
        </w:rPr>
        <w:t>New bone formations (osteophytes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) at joint margins are thought</w:t>
      </w:r>
      <w:r w:rsidR="005332A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to help stabilize affected joints.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8D32DF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5332A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472F07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Inflammatory changes can occur in the joint capsule and </w:t>
      </w:r>
      <w:proofErr w:type="spellStart"/>
      <w:r w:rsidR="00FC2D62" w:rsidRPr="00472F07">
        <w:rPr>
          <w:rFonts w:asciiTheme="majorBidi" w:hAnsiTheme="majorBidi" w:cstheme="majorBidi"/>
          <w:b/>
          <w:bCs/>
          <w:color w:val="333333"/>
          <w:sz w:val="28"/>
          <w:szCs w:val="28"/>
        </w:rPr>
        <w:t>synovium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FC2D62" w:rsidRPr="00E67DCE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Inflammatory changes result in</w:t>
      </w:r>
      <w:r w:rsidR="005332A3" w:rsidRPr="00E67DC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E67DCE">
        <w:rPr>
          <w:rFonts w:asciiTheme="majorBidi" w:hAnsiTheme="majorBidi" w:cstheme="majorBidi"/>
          <w:b/>
          <w:bCs/>
          <w:color w:val="333333"/>
          <w:sz w:val="28"/>
          <w:szCs w:val="28"/>
        </w:rPr>
        <w:t>synovial effusions and thickening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5D319E" w:rsidP="006A6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A62CB">
        <w:rPr>
          <w:rFonts w:asciiTheme="majorBidi" w:hAnsiTheme="majorBidi" w:cstheme="majorBidi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BE92CD8" wp14:editId="0B6A0807">
            <wp:simplePos x="0" y="0"/>
            <wp:positionH relativeFrom="column">
              <wp:posOffset>4733290</wp:posOffset>
            </wp:positionH>
            <wp:positionV relativeFrom="paragraph">
              <wp:posOffset>106680</wp:posOffset>
            </wp:positionV>
            <wp:extent cx="1850390" cy="25965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6CE"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5332A3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Risk factors include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increasing age, obesity, sex, certain occupations and sports activities, history of joint injury or surgery, and genetic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predisposition.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5332A3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The predominant symptom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is pain in affected joints. Pain accompanies joint activity and decreases with rest.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Joints most commonly affected are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the distal </w:t>
      </w:r>
      <w:proofErr w:type="spellStart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interphalangeal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(DIP) and proximal </w:t>
      </w:r>
      <w:proofErr w:type="spellStart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interphalangeal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(PIP) joints of the hand, first carpometacarpal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joint, knees, hips, cervical and lumbar spine, and first metatarsophalangeal (MTP) joint of the toe.</w:t>
      </w:r>
      <w:r w:rsidR="002468B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5332A3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Limitation of motion, stiffness,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crepitus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, and deformities may occur.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5332A3" w:rsidP="00192F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Upon arising,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joint stiffness typically lasts less than 30 minutes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and resolves with motion.</w:t>
      </w:r>
      <w:r w:rsidR="00192FA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Presence of warm, red, and tender joints suggests inflammatory </w:t>
      </w:r>
      <w:proofErr w:type="spellStart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synovitis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332A3" w:rsidRDefault="005332A3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0746CE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Physical examination of affected joints reveals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tenderness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crepitus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and possibly enlargement. </w:t>
      </w:r>
      <w:proofErr w:type="spellStart"/>
      <w:r w:rsidR="00FC2D62" w:rsidRPr="00E67DCE">
        <w:rPr>
          <w:rFonts w:asciiTheme="majorBidi" w:hAnsiTheme="majorBidi" w:cstheme="majorBidi"/>
          <w:b/>
          <w:bCs/>
          <w:color w:val="333333"/>
          <w:sz w:val="28"/>
          <w:szCs w:val="28"/>
        </w:rPr>
        <w:t>Heberden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FC2D62" w:rsidRPr="00E67DCE">
        <w:rPr>
          <w:rFonts w:asciiTheme="majorBidi" w:hAnsiTheme="majorBidi" w:cstheme="majorBidi"/>
          <w:b/>
          <w:bCs/>
          <w:color w:val="333333"/>
          <w:sz w:val="28"/>
          <w:szCs w:val="28"/>
        </w:rPr>
        <w:t>Bouchard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nodes are bony</w:t>
      </w:r>
      <w:r w:rsidR="00FC2D6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enlargements (osteophytes) of the DIP and PIP joints, respectively.</w:t>
      </w:r>
    </w:p>
    <w:p w:rsidR="005332A3" w:rsidRPr="007F48DB" w:rsidRDefault="005332A3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0746CE" w:rsidP="006A6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FC2D62" w:rsidRPr="005332A3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Diagnosis is made through patient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history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physician examination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radiologic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findings, and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laboratory testing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192FA2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2-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American College of Rheumatology criteria for classification of OA of the hips, knees, and hands include presence of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pain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bony changes on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examination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normal erythrocyte sedimentation rate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(ESR), and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radiographs showing osteophytes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or joint 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space narrowing.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405882" w:rsidP="006A6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Treatment</w:t>
      </w:r>
    </w:p>
    <w:p w:rsidR="0045125D" w:rsidRPr="005332A3" w:rsidRDefault="00FC2D62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: (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) Educate the patient, family members, and caregivers; (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) relieve pain and stiffness; (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) maintain or improve joint mobility; (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4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5332A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limit functional impairment; and (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5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) maintain or improve quality of life.</w:t>
      </w:r>
      <w:r w:rsidR="0040588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05882" w:rsidRPr="007F48DB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6A62CB">
      <w:pPr>
        <w:tabs>
          <w:tab w:val="left" w:pos="4470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  <w:r w:rsidR="006A62CB">
        <w:rPr>
          <w:rFonts w:asciiTheme="majorBidi" w:hAnsiTheme="majorBidi" w:cstheme="majorBidi"/>
          <w:b/>
          <w:bCs/>
          <w:color w:val="0000FF"/>
          <w:sz w:val="32"/>
          <w:szCs w:val="32"/>
        </w:rPr>
        <w:tab/>
      </w:r>
    </w:p>
    <w:p w:rsidR="00FC2D62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Educate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the patient about the disease process and extent, prognosis, and treatment options. Promote dietary counseling, exercise, and a weight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loss program for overweight patients.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Physical therapy</w:t>
      </w:r>
      <w:r w:rsidR="00FC2D62" w:rsidRPr="005332A3">
        <w:rPr>
          <w:rFonts w:asciiTheme="majorBidi" w:hAnsiTheme="majorBidi" w:cstheme="majorBidi" w:hint="cs"/>
          <w:color w:val="333333"/>
          <w:sz w:val="28"/>
          <w:szCs w:val="28"/>
        </w:rPr>
        <w:t>—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with heat or cold treatments and an exercise program</w:t>
      </w:r>
      <w:r w:rsidR="00FC2D62" w:rsidRPr="005332A3">
        <w:rPr>
          <w:rFonts w:asciiTheme="majorBidi" w:hAnsiTheme="majorBidi" w:cstheme="majorBidi" w:hint="cs"/>
          <w:color w:val="333333"/>
          <w:sz w:val="28"/>
          <w:szCs w:val="28"/>
        </w:rPr>
        <w:t>—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helps maintain range of motion and reduce pain and need for analgesics.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Assistive and orthotic devices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(canes, walkers, braces, heel cups, and insoles) can be used during exercise or daily activities.</w:t>
      </w:r>
    </w:p>
    <w:p w:rsidR="005332A3" w:rsidRPr="007F48DB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5332A3" w:rsidRDefault="005332A3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FC2D62"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Surgical procedures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1D6A47" w:rsidRPr="005332A3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osteotomy, </w:t>
      </w:r>
      <w:proofErr w:type="spellStart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arthroplasty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, joint fusion) are indicated for functional disability and/or severe pain unresponsive to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conservative therapy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6A62CB">
      <w:pPr>
        <w:tabs>
          <w:tab w:val="left" w:pos="4470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FC2D62" w:rsidRPr="005332A3" w:rsidRDefault="00FC2D62" w:rsidP="006A62CB">
      <w:pPr>
        <w:tabs>
          <w:tab w:val="left" w:pos="3268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5332A3">
        <w:rPr>
          <w:rFonts w:asciiTheme="majorBidi" w:hAnsiTheme="majorBidi" w:cstheme="majorBidi"/>
          <w:b/>
          <w:bCs/>
          <w:color w:val="FF0000"/>
          <w:sz w:val="32"/>
          <w:szCs w:val="32"/>
        </w:rPr>
        <w:t>General Approach</w:t>
      </w:r>
      <w:r w:rsidR="006A62CB">
        <w:rPr>
          <w:rFonts w:asciiTheme="majorBidi" w:hAnsiTheme="majorBidi" w:cstheme="majorBidi"/>
          <w:b/>
          <w:bCs/>
          <w:color w:val="FF0000"/>
          <w:sz w:val="32"/>
          <w:szCs w:val="32"/>
        </w:rPr>
        <w:tab/>
      </w:r>
    </w:p>
    <w:p w:rsidR="00FC2D62" w:rsidRPr="005332A3" w:rsidRDefault="00FC2D62" w:rsidP="00192F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Drug therapy is targeted at relief of pain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. Apply an individualized approach (Figs. 1 and 2). </w:t>
      </w:r>
      <w:r w:rsidRPr="00192FA2">
        <w:rPr>
          <w:rFonts w:asciiTheme="majorBidi" w:hAnsiTheme="majorBidi" w:cstheme="majorBidi"/>
          <w:b/>
          <w:bCs/>
          <w:color w:val="333333"/>
          <w:sz w:val="28"/>
          <w:szCs w:val="28"/>
        </w:rPr>
        <w:t>Continue appropriate nondrug therapies when initiating drug therapy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C2D62" w:rsidRPr="00192FA2" w:rsidRDefault="00FC2D62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192FA2" w:rsidRPr="00BF4C6A" w:rsidRDefault="00192FA2" w:rsidP="006A62CB">
      <w:pPr>
        <w:tabs>
          <w:tab w:val="left" w:pos="3268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F4C6A">
        <w:rPr>
          <w:rFonts w:asciiTheme="majorBidi" w:hAnsiTheme="majorBidi" w:cstheme="majorBidi"/>
          <w:b/>
          <w:bCs/>
          <w:color w:val="FF0000"/>
          <w:sz w:val="32"/>
          <w:szCs w:val="32"/>
        </w:rPr>
        <w:t>Knee and Hip OA</w:t>
      </w:r>
    </w:p>
    <w:p w:rsidR="00192FA2" w:rsidRDefault="00192FA2" w:rsidP="00192F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Acetaminophen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is a 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preferred first-line treatment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; it may be less effective than oral NSAIDs but has a lower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risk of serious gastrointestinal (GI) and cardiovascular (CV) events. </w:t>
      </w:r>
    </w:p>
    <w:p w:rsidR="00192FA2" w:rsidRPr="007F48DB" w:rsidRDefault="00192FA2" w:rsidP="00192F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92FA2" w:rsidRPr="005332A3" w:rsidRDefault="00192FA2" w:rsidP="00192F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Pr="008D32DF">
        <w:rPr>
          <w:rFonts w:asciiTheme="majorBidi" w:hAnsiTheme="majorBidi" w:cstheme="majorBidi"/>
          <w:b/>
          <w:bCs/>
          <w:color w:val="333333"/>
          <w:sz w:val="28"/>
          <w:szCs w:val="28"/>
        </w:rPr>
        <w:t>Acetaminophen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is usually well tolerated, but potentially fatal 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hepatotoxicity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with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overdose is well documented. It should be avoided in chronic alcohol users or patients with liver disease.</w:t>
      </w:r>
    </w:p>
    <w:p w:rsidR="00192FA2" w:rsidRPr="007F48DB" w:rsidRDefault="00192FA2" w:rsidP="00192F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92FA2" w:rsidRDefault="00192FA2" w:rsidP="00192FA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Nonselective NSAIDs or cyclooxygenase-2 (COX-2) selective inhibitors (</w:t>
      </w:r>
      <w:proofErr w:type="spellStart"/>
      <w:r w:rsidRPr="005332A3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celecoxib) are recommended 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if a patient fails acetaminophen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59B1" w:rsidRDefault="000759B1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0759B1" w:rsidRDefault="000759B1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Nonselective NSAIDs may cause minor GI complaints such as nausea, dyspepsia, anorexia, abdominal pain, and diarrhea. 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may cause gastric and duodenal ulcers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and bleeding through direct (topical) or indirect (systemic) mechanisms. </w:t>
      </w:r>
    </w:p>
    <w:p w:rsidR="000759B1" w:rsidRPr="007F48DB" w:rsidRDefault="000759B1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59B1" w:rsidRDefault="000759B1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Risk factors for NSAID-associated ulcers and ulcer complications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(perforation, gastric outlet obstruction, and GI bleeding) 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include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longer duration of NSAID use, higher dosage, age older than 60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years, past history of peptic ulcer disease of any cause, history of alcohol use, and concomitant use of glucocorticoids or anticoagulants. </w:t>
      </w:r>
    </w:p>
    <w:p w:rsidR="000759B1" w:rsidRPr="005332A3" w:rsidRDefault="000759B1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FC2D62" w:rsidRDefault="00FC2D62" w:rsidP="005D319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6DEBAEF" wp14:editId="20394C4F">
            <wp:extent cx="5923327" cy="409903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9246" cy="410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D62" w:rsidRPr="00BF4C6A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F4C6A">
        <w:rPr>
          <w:rFonts w:asciiTheme="majorBidi" w:hAnsiTheme="majorBidi" w:cstheme="majorBidi"/>
          <w:b/>
          <w:bCs/>
          <w:color w:val="333333"/>
          <w:sz w:val="28"/>
          <w:szCs w:val="28"/>
        </w:rPr>
        <w:t>Figure 1:</w:t>
      </w:r>
      <w:r w:rsidR="00FC2D62" w:rsidRPr="00BF4C6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Treatment recommendations for knee and hip osteoarthritis.</w:t>
      </w:r>
    </w:p>
    <w:p w:rsidR="00FC2D62" w:rsidRDefault="00FC2D62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</w:p>
    <w:p w:rsidR="00FC2D62" w:rsidRDefault="00FC2D62" w:rsidP="005D319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noProof/>
        </w:rPr>
        <w:drawing>
          <wp:inline distT="0" distB="0" distL="0" distR="0" wp14:anchorId="14ABD8B0" wp14:editId="30C01FCD">
            <wp:extent cx="6578930" cy="45244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8835" cy="45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D62" w:rsidRPr="005332A3" w:rsidRDefault="00FC2D62" w:rsidP="00BF4C6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333333"/>
          <w:sz w:val="28"/>
          <w:szCs w:val="28"/>
        </w:rPr>
      </w:pPr>
      <w:r w:rsidRPr="00BF4C6A">
        <w:rPr>
          <w:rFonts w:asciiTheme="majorBidi" w:hAnsiTheme="majorBidi" w:cstheme="majorBidi"/>
          <w:b/>
          <w:bCs/>
          <w:color w:val="333333"/>
          <w:sz w:val="28"/>
          <w:szCs w:val="28"/>
        </w:rPr>
        <w:t>F</w:t>
      </w:r>
      <w:r w:rsidR="00BF4C6A" w:rsidRPr="00BF4C6A">
        <w:rPr>
          <w:rFonts w:asciiTheme="majorBidi" w:hAnsiTheme="majorBidi" w:cstheme="majorBidi"/>
          <w:b/>
          <w:bCs/>
          <w:color w:val="333333"/>
          <w:sz w:val="28"/>
          <w:szCs w:val="28"/>
        </w:rPr>
        <w:t>igure</w:t>
      </w:r>
      <w:r w:rsidRPr="00BF4C6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BF4C6A" w:rsidRPr="00BF4C6A">
        <w:rPr>
          <w:rFonts w:asciiTheme="majorBidi" w:hAnsiTheme="majorBidi" w:cstheme="majorBidi"/>
          <w:b/>
          <w:bCs/>
          <w:color w:val="333333"/>
          <w:sz w:val="28"/>
          <w:szCs w:val="28"/>
        </w:rPr>
        <w:t>2:</w:t>
      </w:r>
      <w:r w:rsidRPr="00BF4C6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Treatment recommendations for hand osteoarthritis</w:t>
      </w:r>
      <w:r w:rsidRPr="005332A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C2D62" w:rsidRDefault="00FC2D62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</w:p>
    <w:p w:rsidR="00BF4C6A" w:rsidRPr="007F48DB" w:rsidRDefault="00BF4C6A" w:rsidP="005332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BF4C6A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Options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for reducing the GI risk of nonselective NSAIDs include using (1) the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lowest dose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possible and only when needed, (2)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misoprostol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with the NSAID, and (3) a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PPI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H2-receptor antagonist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daily with the NSAID.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COX-2 inhibitors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pose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less risk for adverse GI events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than nonselective NSAIDs, but this advantage is substantially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reduced for patients taking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aspirin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Both nonselective and selective NSAIDs are associated with an increased risk for CV events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(hypertension, stroke, myocardial infarction,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death).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Default="000759B1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Unlike aspirin,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celecoxib and nonspecific NSAIDs inhibit thromboxane formation reversibly, with normalization of platelet function 1</w:t>
      </w:r>
      <w:r w:rsidR="00FC2D62" w:rsidRPr="00EA6C8A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3 days after</w:t>
      </w:r>
      <w:r w:rsidR="00BF4C6A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drug discontinuation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. Avoid NSAIDs in late pregnancy because of risk of premature closure of the </w:t>
      </w:r>
      <w:proofErr w:type="spellStart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ductus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arteriosus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Pr="007F48DB" w:rsidRDefault="000759B1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Topical NSAIDs are recommended for knee OA if acetaminophen fails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, and they are preferred over oral NSAIDs in patients older than 75 years.</w:t>
      </w:r>
    </w:p>
    <w:p w:rsidR="002C35C0" w:rsidRDefault="002C35C0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BF4C6A" w:rsidRDefault="00BF4C6A" w:rsidP="002C35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0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Topical NSAIDs provide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similar pain relief with fewer adverse GI events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than oral NSAIDs but may be associated with adverse events at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application site (</w:t>
      </w:r>
      <w:r w:rsidR="00815710" w:rsidRPr="005332A3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, dry skin, pruritus, and rash). </w:t>
      </w:r>
    </w:p>
    <w:p w:rsidR="00192FA2" w:rsidRPr="00192FA2" w:rsidRDefault="00192FA2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BF4C6A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1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using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topical products should avoid oral NSAIDs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to minimize the potential for additive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side effects.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Use of topical NSAIDs has not been linked with increased risk of CV events.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Default="00BF4C6A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2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Intra-articular (IA) corticosteroid injections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are recommended for both hip and knee OA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when analgesia with acetaminophen or NSAIDs is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suboptimal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. They can provide excellent pain relief, particularly when joint effusion is present.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Default="00BF4C6A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3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Local anesthetics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such as </w:t>
      </w:r>
      <w:proofErr w:type="spellStart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lidocaine</w:t>
      </w:r>
      <w:proofErr w:type="spellEnd"/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or bupivacaine are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commonly combined with corticosteroids to provide rapid pain relief. Injections may also be given with concomitant oral analgesics for additional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pain control.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Local adverse effects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can include infection, osteonecrosis, tendon rupture, and skin atrophy at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the injection site.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BF4C6A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4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Do not administer injections more frequently than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once every 3 months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to minimize systemic adverse effects.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</w:t>
      </w:r>
      <w:r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corticosteroid therapy is not recommended in OA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, given lack of proven benefit and well-known adverse effects with long-term use.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Default="00BF4C6A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5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Tramadol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is recommended for hip and knee OA in patients who have failed acetaminophen and topical NSAIDs, who are not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appropriate candidates for oral NSAIDs, and who are not able to receive IA corticosteroids.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Default="00BF4C6A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6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Tramadol can be added to partially effective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acetaminophen or oral NSAID therapy. Tramadol is associated with opioid-like adverse effects such as nausea, vomiting, dizziness, constipation,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headache, and somnolence.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7F48DB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The most serious</w:t>
      </w:r>
      <w:r w:rsidR="00BF4C6A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adverse event is seizures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. Tramadol is classified as a Schedule IV controlled substance due to its potential for dependence, addiction, and diversion.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5D319E" w:rsidRPr="000759B1" w:rsidRDefault="00D67390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18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>Duloxetine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can be used as adjunctive </w:t>
      </w:r>
      <w:r w:rsidR="00FC2D62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of knee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 xml:space="preserve"> (not hip) OA in patients with partial response to first-line analgesics (acetaminophen, oral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5332A3">
        <w:rPr>
          <w:rFonts w:asciiTheme="majorBidi" w:hAnsiTheme="majorBidi" w:cstheme="majorBidi"/>
          <w:color w:val="333333"/>
          <w:sz w:val="28"/>
          <w:szCs w:val="28"/>
        </w:rPr>
        <w:t>NSAIDs).</w:t>
      </w:r>
      <w:r w:rsidR="000759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0759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It may be a </w:t>
      </w:r>
      <w:r w:rsidR="00FC2D62" w:rsidRPr="000759B1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preferred second-line medication in patients with both neuropathic and musculoskeletal OA pain</w:t>
      </w:r>
      <w:r w:rsidR="00FC2D62" w:rsidRPr="000759B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5D319E" w:rsidRPr="007F4102" w:rsidRDefault="005D319E" w:rsidP="005D319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highlight w:val="yellow"/>
        </w:rPr>
      </w:pPr>
    </w:p>
    <w:p w:rsidR="00FC2D62" w:rsidRDefault="008D32DF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19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>IA hyaluronic acid (sodium hyaluronate)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is not routinely recommended because injections have </w:t>
      </w:r>
      <w:r w:rsidR="00FC2D62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>shown limited benefit for knee OA and have not</w:t>
      </w:r>
      <w:r w:rsidR="00BF4C6A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C2D62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been shown to benefit hip OA. </w:t>
      </w:r>
      <w:r w:rsidR="000759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Default="008D32DF" w:rsidP="007F48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20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FC2D62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>Glucosamine and/or chondroitin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and topical </w:t>
      </w:r>
      <w:r w:rsidR="00FC2D62" w:rsidRPr="007F48DB">
        <w:rPr>
          <w:rFonts w:asciiTheme="majorBidi" w:hAnsiTheme="majorBidi" w:cstheme="majorBidi"/>
          <w:b/>
          <w:bCs/>
          <w:color w:val="333333"/>
          <w:sz w:val="28"/>
          <w:szCs w:val="28"/>
        </w:rPr>
        <w:t>rubefacients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e</w:t>
      </w:r>
      <w:r w:rsidR="00E67DCE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g</w:t>
      </w:r>
      <w:proofErr w:type="spellEnd"/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, methyl salicylate, </w:t>
      </w:r>
      <w:proofErr w:type="spellStart"/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trolamine</w:t>
      </w:r>
      <w:proofErr w:type="spellEnd"/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salicylate) lack uniform improvement in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pain control or functional status for hip and knee pain and </w:t>
      </w:r>
      <w:r w:rsidR="00FC2D62" w:rsidRPr="007F4102">
        <w:rPr>
          <w:rFonts w:asciiTheme="majorBidi" w:hAnsiTheme="majorBidi" w:cstheme="majorBidi"/>
          <w:b/>
          <w:bCs/>
          <w:color w:val="333333"/>
          <w:sz w:val="28"/>
          <w:szCs w:val="28"/>
        </w:rPr>
        <w:t>are not preferred treatment options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BF4C6A" w:rsidRDefault="00FC2D62" w:rsidP="006A62CB">
      <w:pPr>
        <w:tabs>
          <w:tab w:val="left" w:pos="3268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F4C6A">
        <w:rPr>
          <w:rFonts w:asciiTheme="majorBidi" w:hAnsiTheme="majorBidi" w:cstheme="majorBidi"/>
          <w:b/>
          <w:bCs/>
          <w:color w:val="FF0000"/>
          <w:sz w:val="32"/>
          <w:szCs w:val="32"/>
        </w:rPr>
        <w:t>Hand OA</w:t>
      </w:r>
    </w:p>
    <w:p w:rsidR="00FC2D62" w:rsidRPr="00FC2D62" w:rsidRDefault="00BF4C6A" w:rsidP="000759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FC2D62" w:rsidRPr="005D319E">
        <w:rPr>
          <w:rFonts w:asciiTheme="majorBidi" w:hAnsiTheme="majorBidi" w:cstheme="majorBidi"/>
          <w:b/>
          <w:bCs/>
          <w:color w:val="333333"/>
          <w:sz w:val="28"/>
          <w:szCs w:val="28"/>
        </w:rPr>
        <w:t>Topical NSAIDs are a first-line option for hand OA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557ED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57EDB" w:rsidRPr="001B0529">
        <w:rPr>
          <w:rFonts w:asciiTheme="majorBidi" w:hAnsiTheme="majorBidi" w:cstheme="majorBidi"/>
          <w:color w:val="333333"/>
          <w:sz w:val="28"/>
          <w:szCs w:val="28"/>
        </w:rPr>
        <w:t>Efficacy with topical NSAIDs typically occurs with 1</w:t>
      </w:r>
      <w:r w:rsidR="00557EDB" w:rsidRPr="001B052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557EDB" w:rsidRPr="001B0529">
        <w:rPr>
          <w:rFonts w:asciiTheme="majorBidi" w:hAnsiTheme="majorBidi" w:cstheme="majorBidi"/>
          <w:color w:val="333333"/>
          <w:sz w:val="28"/>
          <w:szCs w:val="28"/>
        </w:rPr>
        <w:t>2 weeks</w:t>
      </w:r>
      <w:r w:rsidR="00557EDB" w:rsidRPr="00FC2D62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BF4C6A" w:rsidRPr="007F48DB" w:rsidRDefault="00BF4C6A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FC2D62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Oral NSAIDs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are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an alternative first-line treatment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for patients who cannot tolerate the local skin reactions or who received inadequate relief from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topical NSAIDs.</w:t>
      </w:r>
    </w:p>
    <w:p w:rsidR="00BF4C6A" w:rsidRPr="007F48DB" w:rsidRDefault="00BF4C6A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FC2D62" w:rsidRDefault="00BF4C6A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Capsaicin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cream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is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an alternative first-line treatment</w:t>
      </w:r>
      <w:r w:rsidR="00EA6C8A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It is a reasonable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option for patients unable to take oral NSAIDs. Capsaicin must be used regularly to be effective, and it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may require up to 2 weeks to take effect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EA6C8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Adverse effects are primarily local</w:t>
      </w:r>
      <w:r w:rsidR="00D67390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BF4C6A" w:rsidRPr="007F48DB" w:rsidRDefault="00BF4C6A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F4C6A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Tramadol is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an alternative first-line treatment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and is a reasonable option for patients who do not respond to topical therapy and are not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candidates for oral NSAIDs because of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high GI, CV, or renal risks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BF4C6A" w:rsidRPr="007F48DB" w:rsidRDefault="00BF4C6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FC2D62" w:rsidRDefault="00EA6C8A" w:rsidP="00BF4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Tramadol may also be used </w:t>
      </w:r>
      <w:r w:rsidR="00FC2D62" w:rsidRPr="00EA6C8A">
        <w:rPr>
          <w:rFonts w:asciiTheme="majorBidi" w:hAnsiTheme="majorBidi" w:cstheme="majorBidi"/>
          <w:b/>
          <w:bCs/>
          <w:color w:val="333333"/>
          <w:sz w:val="28"/>
          <w:szCs w:val="28"/>
        </w:rPr>
        <w:t>in combination with partially effective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acetaminophen,</w:t>
      </w:r>
      <w:r w:rsidR="00BF4C6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>topical therapy, or oral NSAIDs.</w:t>
      </w:r>
    </w:p>
    <w:p w:rsidR="00FC2D62" w:rsidRPr="007F48DB" w:rsidRDefault="00FC2D62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022299" w:rsidP="006A62C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5D319E" w:rsidRDefault="00BF4C6A" w:rsidP="005D319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To monitor </w:t>
      </w:r>
      <w:r w:rsidR="00FC2D62" w:rsidRPr="005D319E">
        <w:rPr>
          <w:rFonts w:asciiTheme="majorBidi" w:hAnsiTheme="majorBidi" w:cstheme="majorBidi"/>
          <w:b/>
          <w:bCs/>
          <w:color w:val="333333"/>
          <w:sz w:val="28"/>
          <w:szCs w:val="28"/>
        </w:rPr>
        <w:t>efficacy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, assess baseline </w:t>
      </w:r>
      <w:r w:rsidR="00FC2D62" w:rsidRPr="005D319E">
        <w:rPr>
          <w:rFonts w:asciiTheme="majorBidi" w:hAnsiTheme="majorBidi" w:cstheme="majorBidi"/>
          <w:b/>
          <w:bCs/>
          <w:color w:val="333333"/>
          <w:sz w:val="28"/>
          <w:szCs w:val="28"/>
        </w:rPr>
        <w:t>pain with a visual analog scale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FC2D62" w:rsidRPr="005D319E">
        <w:rPr>
          <w:rFonts w:asciiTheme="majorBidi" w:hAnsiTheme="majorBidi" w:cstheme="majorBidi"/>
          <w:b/>
          <w:bCs/>
          <w:color w:val="333333"/>
          <w:sz w:val="28"/>
          <w:szCs w:val="28"/>
        </w:rPr>
        <w:t>assess range of motion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for affected joints with </w:t>
      </w:r>
      <w:r w:rsidR="00FC2D62" w:rsidRPr="005D319E">
        <w:rPr>
          <w:rFonts w:asciiTheme="majorBidi" w:hAnsiTheme="majorBidi" w:cstheme="majorBidi"/>
          <w:b/>
          <w:bCs/>
          <w:color w:val="333333"/>
          <w:sz w:val="28"/>
          <w:szCs w:val="28"/>
        </w:rPr>
        <w:t>flexion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5D319E">
        <w:rPr>
          <w:rFonts w:asciiTheme="majorBidi" w:hAnsiTheme="majorBidi" w:cstheme="majorBidi"/>
          <w:color w:val="333333"/>
          <w:sz w:val="28"/>
          <w:szCs w:val="28"/>
        </w:rPr>
        <w:t xml:space="preserve">or </w:t>
      </w:r>
      <w:r w:rsidR="00FC2D62" w:rsidRPr="005D319E">
        <w:rPr>
          <w:rFonts w:asciiTheme="majorBidi" w:hAnsiTheme="majorBidi" w:cstheme="majorBidi"/>
          <w:b/>
          <w:bCs/>
          <w:color w:val="333333"/>
          <w:sz w:val="28"/>
          <w:szCs w:val="28"/>
        </w:rPr>
        <w:t>extension</w:t>
      </w:r>
      <w:r w:rsidR="005D319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D319E" w:rsidRPr="007F48DB" w:rsidRDefault="005D319E" w:rsidP="005D319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Pr="00FC2D62" w:rsidRDefault="00BF4C6A" w:rsidP="005D319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Depending on the joint(s) affected, measurement of </w:t>
      </w:r>
      <w:r w:rsidR="00FC2D62" w:rsidRPr="008A2295">
        <w:rPr>
          <w:rFonts w:asciiTheme="majorBidi" w:hAnsiTheme="majorBidi" w:cstheme="majorBidi"/>
          <w:b/>
          <w:bCs/>
          <w:color w:val="333333"/>
          <w:sz w:val="28"/>
          <w:szCs w:val="28"/>
        </w:rPr>
        <w:t>grip strength and 50-ft walking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C2D62" w:rsidRPr="008A2295">
        <w:rPr>
          <w:rFonts w:asciiTheme="majorBidi" w:hAnsiTheme="majorBidi" w:cstheme="majorBidi"/>
          <w:b/>
          <w:bCs/>
          <w:color w:val="333333"/>
          <w:sz w:val="28"/>
          <w:szCs w:val="28"/>
        </w:rPr>
        <w:t>ti</w:t>
      </w:r>
      <w:bookmarkStart w:id="0" w:name="_GoBack"/>
      <w:bookmarkEnd w:id="0"/>
      <w:r w:rsidR="00FC2D62" w:rsidRPr="008A2295">
        <w:rPr>
          <w:rFonts w:asciiTheme="majorBidi" w:hAnsiTheme="majorBidi" w:cstheme="majorBidi"/>
          <w:b/>
          <w:bCs/>
          <w:color w:val="333333"/>
          <w:sz w:val="28"/>
          <w:szCs w:val="28"/>
        </w:rPr>
        <w:t>me</w:t>
      </w:r>
      <w:r w:rsidR="00FC2D62" w:rsidRPr="00FC2D62">
        <w:rPr>
          <w:rFonts w:asciiTheme="majorBidi" w:hAnsiTheme="majorBidi" w:cstheme="majorBidi"/>
          <w:color w:val="333333"/>
          <w:sz w:val="28"/>
          <w:szCs w:val="28"/>
        </w:rPr>
        <w:t xml:space="preserve"> can help assess hand and hip/knee OA, respectively.</w:t>
      </w:r>
    </w:p>
    <w:p w:rsidR="00BF4C6A" w:rsidRPr="000840D2" w:rsidRDefault="00BF4C6A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2D62" w:rsidRDefault="00FC2D62" w:rsidP="00FC2D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67390" w:rsidRDefault="00D67390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67390" w:rsidRPr="007F48DB" w:rsidRDefault="00D67390" w:rsidP="00D673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4453A3" w:rsidRDefault="00B527DA" w:rsidP="004453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4453A3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  <w:r w:rsidR="000840D2" w:rsidRPr="004453A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4453A3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4453A3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4453A3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 w:rsidRPr="004453A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Edition. 202</w:t>
      </w:r>
      <w:r w:rsidR="004453A3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4453A3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sectPr w:rsidR="00B527DA" w:rsidRPr="004453A3" w:rsidSect="0045125D">
      <w:footerReference w:type="default" r:id="rId12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65" w:rsidRDefault="00F54165" w:rsidP="009C79FE">
      <w:pPr>
        <w:spacing w:after="0" w:line="240" w:lineRule="auto"/>
      </w:pPr>
      <w:r>
        <w:separator/>
      </w:r>
    </w:p>
  </w:endnote>
  <w:endnote w:type="continuationSeparator" w:id="0">
    <w:p w:rsidR="00F54165" w:rsidRDefault="00F54165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29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65" w:rsidRDefault="00F54165" w:rsidP="009C79FE">
      <w:pPr>
        <w:spacing w:after="0" w:line="240" w:lineRule="auto"/>
      </w:pPr>
      <w:r>
        <w:separator/>
      </w:r>
    </w:p>
  </w:footnote>
  <w:footnote w:type="continuationSeparator" w:id="0">
    <w:p w:rsidR="00F54165" w:rsidRDefault="00F54165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746CE"/>
    <w:rsid w:val="000759B1"/>
    <w:rsid w:val="000840D2"/>
    <w:rsid w:val="00085EC1"/>
    <w:rsid w:val="000A39DD"/>
    <w:rsid w:val="000D6AAF"/>
    <w:rsid w:val="000F5D8E"/>
    <w:rsid w:val="00126BAA"/>
    <w:rsid w:val="001369C1"/>
    <w:rsid w:val="001467B2"/>
    <w:rsid w:val="0018108D"/>
    <w:rsid w:val="001835C9"/>
    <w:rsid w:val="00192FA2"/>
    <w:rsid w:val="001A0CEA"/>
    <w:rsid w:val="001A4491"/>
    <w:rsid w:val="001C7900"/>
    <w:rsid w:val="001D6A47"/>
    <w:rsid w:val="001E6AD2"/>
    <w:rsid w:val="001F3F9F"/>
    <w:rsid w:val="00202D23"/>
    <w:rsid w:val="00203F6D"/>
    <w:rsid w:val="0023109D"/>
    <w:rsid w:val="00240FC2"/>
    <w:rsid w:val="002468BE"/>
    <w:rsid w:val="00293D7B"/>
    <w:rsid w:val="002A56DF"/>
    <w:rsid w:val="002C35C0"/>
    <w:rsid w:val="002F42C5"/>
    <w:rsid w:val="00307E17"/>
    <w:rsid w:val="00324617"/>
    <w:rsid w:val="00324E72"/>
    <w:rsid w:val="003310D9"/>
    <w:rsid w:val="00337A94"/>
    <w:rsid w:val="00347D77"/>
    <w:rsid w:val="00362948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2A9A"/>
    <w:rsid w:val="00423E59"/>
    <w:rsid w:val="00430B69"/>
    <w:rsid w:val="00432419"/>
    <w:rsid w:val="004453A3"/>
    <w:rsid w:val="0045071B"/>
    <w:rsid w:val="0045125D"/>
    <w:rsid w:val="004722A3"/>
    <w:rsid w:val="00472F07"/>
    <w:rsid w:val="004752B9"/>
    <w:rsid w:val="0048401C"/>
    <w:rsid w:val="00487060"/>
    <w:rsid w:val="004A73A6"/>
    <w:rsid w:val="004B2945"/>
    <w:rsid w:val="004B6F1E"/>
    <w:rsid w:val="004E1DCC"/>
    <w:rsid w:val="004E7A87"/>
    <w:rsid w:val="00516926"/>
    <w:rsid w:val="005332A3"/>
    <w:rsid w:val="00557EDB"/>
    <w:rsid w:val="005627C5"/>
    <w:rsid w:val="00583888"/>
    <w:rsid w:val="005C3F80"/>
    <w:rsid w:val="005D1A07"/>
    <w:rsid w:val="005D319E"/>
    <w:rsid w:val="005D3E7B"/>
    <w:rsid w:val="0063410E"/>
    <w:rsid w:val="0065062A"/>
    <w:rsid w:val="00653546"/>
    <w:rsid w:val="00655FED"/>
    <w:rsid w:val="00660CED"/>
    <w:rsid w:val="00690A20"/>
    <w:rsid w:val="006A62CB"/>
    <w:rsid w:val="006D0591"/>
    <w:rsid w:val="006F6B9B"/>
    <w:rsid w:val="00701BAE"/>
    <w:rsid w:val="00721505"/>
    <w:rsid w:val="007404A7"/>
    <w:rsid w:val="00741490"/>
    <w:rsid w:val="00747F03"/>
    <w:rsid w:val="00761A5B"/>
    <w:rsid w:val="007621C3"/>
    <w:rsid w:val="00773A31"/>
    <w:rsid w:val="007A0A8A"/>
    <w:rsid w:val="007B6004"/>
    <w:rsid w:val="007E68A8"/>
    <w:rsid w:val="007F19A1"/>
    <w:rsid w:val="007F4102"/>
    <w:rsid w:val="007F48DB"/>
    <w:rsid w:val="00804049"/>
    <w:rsid w:val="00804825"/>
    <w:rsid w:val="00815710"/>
    <w:rsid w:val="008A2295"/>
    <w:rsid w:val="008B4BC1"/>
    <w:rsid w:val="008D2536"/>
    <w:rsid w:val="008D32DF"/>
    <w:rsid w:val="008D5E15"/>
    <w:rsid w:val="008D7966"/>
    <w:rsid w:val="008E28D7"/>
    <w:rsid w:val="00926008"/>
    <w:rsid w:val="009608D6"/>
    <w:rsid w:val="00987645"/>
    <w:rsid w:val="009B0D47"/>
    <w:rsid w:val="009B224B"/>
    <w:rsid w:val="009C4D71"/>
    <w:rsid w:val="009C79FE"/>
    <w:rsid w:val="009D31BD"/>
    <w:rsid w:val="009E60CC"/>
    <w:rsid w:val="00A07CCC"/>
    <w:rsid w:val="00A26085"/>
    <w:rsid w:val="00A4401F"/>
    <w:rsid w:val="00A5155A"/>
    <w:rsid w:val="00A532FE"/>
    <w:rsid w:val="00A7600B"/>
    <w:rsid w:val="00A8009A"/>
    <w:rsid w:val="00A83FB6"/>
    <w:rsid w:val="00A966DA"/>
    <w:rsid w:val="00A969AE"/>
    <w:rsid w:val="00AB66BE"/>
    <w:rsid w:val="00AD10F0"/>
    <w:rsid w:val="00AD3BD4"/>
    <w:rsid w:val="00AD761C"/>
    <w:rsid w:val="00AE1E84"/>
    <w:rsid w:val="00AF560B"/>
    <w:rsid w:val="00B17CB0"/>
    <w:rsid w:val="00B503F7"/>
    <w:rsid w:val="00B527DA"/>
    <w:rsid w:val="00B75789"/>
    <w:rsid w:val="00B834B0"/>
    <w:rsid w:val="00B94318"/>
    <w:rsid w:val="00BD08C5"/>
    <w:rsid w:val="00BD69C4"/>
    <w:rsid w:val="00BE6797"/>
    <w:rsid w:val="00BF062B"/>
    <w:rsid w:val="00BF4C6A"/>
    <w:rsid w:val="00C2374F"/>
    <w:rsid w:val="00C3347D"/>
    <w:rsid w:val="00C35779"/>
    <w:rsid w:val="00C44B13"/>
    <w:rsid w:val="00C75F21"/>
    <w:rsid w:val="00CA3C85"/>
    <w:rsid w:val="00CB0602"/>
    <w:rsid w:val="00CD0420"/>
    <w:rsid w:val="00D06001"/>
    <w:rsid w:val="00D06DBA"/>
    <w:rsid w:val="00D13415"/>
    <w:rsid w:val="00D16FD5"/>
    <w:rsid w:val="00D27EBF"/>
    <w:rsid w:val="00D35FDB"/>
    <w:rsid w:val="00D4331A"/>
    <w:rsid w:val="00D5156B"/>
    <w:rsid w:val="00D67390"/>
    <w:rsid w:val="00D85713"/>
    <w:rsid w:val="00D8770C"/>
    <w:rsid w:val="00DA6BB8"/>
    <w:rsid w:val="00DD24DE"/>
    <w:rsid w:val="00DD3B5C"/>
    <w:rsid w:val="00DD3E17"/>
    <w:rsid w:val="00DD4C24"/>
    <w:rsid w:val="00E0566E"/>
    <w:rsid w:val="00E05705"/>
    <w:rsid w:val="00E26382"/>
    <w:rsid w:val="00E407F9"/>
    <w:rsid w:val="00E67DCE"/>
    <w:rsid w:val="00E67F14"/>
    <w:rsid w:val="00E7219D"/>
    <w:rsid w:val="00E77E4C"/>
    <w:rsid w:val="00E90342"/>
    <w:rsid w:val="00EA27D9"/>
    <w:rsid w:val="00EA3500"/>
    <w:rsid w:val="00EA6C8A"/>
    <w:rsid w:val="00EB0B76"/>
    <w:rsid w:val="00EB1305"/>
    <w:rsid w:val="00EF71B5"/>
    <w:rsid w:val="00F00195"/>
    <w:rsid w:val="00F0769C"/>
    <w:rsid w:val="00F15834"/>
    <w:rsid w:val="00F27D50"/>
    <w:rsid w:val="00F51847"/>
    <w:rsid w:val="00F54165"/>
    <w:rsid w:val="00F73EC3"/>
    <w:rsid w:val="00FA2811"/>
    <w:rsid w:val="00FC2D62"/>
    <w:rsid w:val="00FC749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3452-1C5A-46A6-85EC-01D4CF6A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77</cp:revision>
  <cp:lastPrinted>2023-03-24T08:05:00Z</cp:lastPrinted>
  <dcterms:created xsi:type="dcterms:W3CDTF">2020-05-04T12:27:00Z</dcterms:created>
  <dcterms:modified xsi:type="dcterms:W3CDTF">2023-08-14T15:32:00Z</dcterms:modified>
</cp:coreProperties>
</file>