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E0566E" w:rsidP="00F8382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F8382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45125D" w:rsidRDefault="00E0566E" w:rsidP="00F8382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Cardiovascular disorders</w:t>
      </w:r>
    </w:p>
    <w:p w:rsidR="00E0566E" w:rsidRPr="0045125D" w:rsidRDefault="00E0566E" w:rsidP="00F8382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bidi="ar-IQ"/>
        </w:rPr>
      </w:pPr>
      <w:r w:rsidRPr="0045125D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Hypertension</w:t>
      </w:r>
    </w:p>
    <w:p w:rsidR="0045125D" w:rsidRPr="000746CE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45125D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Hypertension is defined as </w:t>
      </w:r>
      <w:r w:rsidR="0045125D" w:rsidRPr="009D31BD">
        <w:rPr>
          <w:rFonts w:asciiTheme="majorBidi" w:hAnsiTheme="majorBidi" w:cstheme="majorBidi"/>
          <w:b/>
          <w:bCs/>
          <w:color w:val="333333"/>
          <w:sz w:val="28"/>
          <w:szCs w:val="28"/>
        </w:rPr>
        <w:t>persistently elevated arterial blood pressure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(BP). </w:t>
      </w:r>
      <w:r>
        <w:rPr>
          <w:rFonts w:asciiTheme="majorBidi" w:hAnsiTheme="majorBidi" w:cstheme="majorBidi"/>
          <w:color w:val="333333"/>
          <w:sz w:val="28"/>
          <w:szCs w:val="28"/>
        </w:rPr>
        <w:t>(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See </w:t>
      </w:r>
      <w:r w:rsidR="0045125D" w:rsidRPr="0045125D">
        <w:rPr>
          <w:rFonts w:asciiTheme="majorBidi" w:hAnsiTheme="majorBidi" w:cstheme="majorBidi"/>
          <w:color w:val="005E8E"/>
          <w:sz w:val="28"/>
          <w:szCs w:val="28"/>
        </w:rPr>
        <w:t xml:space="preserve">Table -1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for the classification of BP in adults</w:t>
      </w:r>
      <w:r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3973B5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F955AF" w:rsidRDefault="000746CE" w:rsidP="00F955A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D35087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Table-1: Classification of Blood Pressure in Adults</w:t>
      </w:r>
    </w:p>
    <w:p w:rsidR="00F955AF" w:rsidRPr="003973B5" w:rsidRDefault="00F955AF" w:rsidP="00F955A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F955AF" w:rsidRDefault="00F955AF" w:rsidP="00F955AF">
      <w:pPr>
        <w:autoSpaceDE w:val="0"/>
        <w:autoSpaceDN w:val="0"/>
        <w:bidi w:val="0"/>
        <w:adjustRightInd w:val="0"/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2B16FD6" wp14:editId="2F32B2FD">
            <wp:extent cx="6677025" cy="16078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5AF" w:rsidRDefault="00F955AF" w:rsidP="00F955AF">
      <w:pPr>
        <w:autoSpaceDE w:val="0"/>
        <w:autoSpaceDN w:val="0"/>
        <w:bidi w:val="0"/>
        <w:adjustRightInd w:val="0"/>
        <w:spacing w:after="0" w:line="240" w:lineRule="auto"/>
        <w:jc w:val="both"/>
        <w:rPr>
          <w:noProof/>
        </w:rPr>
      </w:pPr>
    </w:p>
    <w:p w:rsidR="0045125D" w:rsidRPr="0045125D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9D31BD">
        <w:rPr>
          <w:rFonts w:asciiTheme="majorBidi" w:hAnsiTheme="majorBidi" w:cstheme="majorBidi"/>
          <w:b/>
          <w:bCs/>
          <w:color w:val="333333"/>
          <w:sz w:val="28"/>
          <w:szCs w:val="28"/>
        </w:rPr>
        <w:t>Isolated systolic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diastolic blood pressure (DBP) &lt;80 mm Hg and systolic blood pressure (SBP) ≥130 mm Hg.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15" w:rsidRPr="000746CE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45125D" w:rsidRPr="009D31BD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Hypertensive crisis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(BP &gt;180/120 mm Hg) is categorized as </w:t>
      </w:r>
      <w:r w:rsidR="0045125D" w:rsidRPr="009D31BD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hypertensive emergency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(extreme BP elevation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acute or progressing end-organ</w:t>
      </w:r>
      <w:r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damage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) or h</w:t>
      </w:r>
      <w:r w:rsidR="0045125D" w:rsidRPr="009D31BD">
        <w:rPr>
          <w:rFonts w:asciiTheme="majorBidi" w:hAnsiTheme="majorBidi" w:cstheme="majorBidi"/>
          <w:b/>
          <w:bCs/>
          <w:color w:val="333333"/>
          <w:sz w:val="28"/>
          <w:szCs w:val="28"/>
        </w:rPr>
        <w:t>ypertensive urgency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(extreme BP elevation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without acute or progressing end-organ injury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)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D5E15" w:rsidRPr="004A73A6" w:rsidRDefault="008D5E15" w:rsidP="004A73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  </w:t>
      </w:r>
    </w:p>
    <w:p w:rsidR="0045125D" w:rsidRPr="0045125D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Hypertension may result from an unknown etiology (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primary or essential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) or from a specific cause (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secondary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Pr="00E05705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Secondary hypertension (&lt;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10% of cases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) is usually caused by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chronic kidney disease (CKD) or </w:t>
      </w:r>
      <w:proofErr w:type="spellStart"/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renovascular</w:t>
      </w:r>
      <w:proofErr w:type="spellEnd"/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disease.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0746CE" w:rsidP="00E057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Examples of drugs that may increase BP include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corticosteroids,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estrogens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, NSAIDs,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cyclosporine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erythropoietin, and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venlafaxine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Default="003A2C78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0746CE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Major causes of death include cerebrovascular events, cardiovascular (CV) events, and renal failure.</w:t>
      </w:r>
    </w:p>
    <w:p w:rsidR="001C6CD8" w:rsidRPr="004A73A6" w:rsidRDefault="001C6CD8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45125D" w:rsidRPr="0045125D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Patients with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uncomplicated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primary hypertension are usually asymptomatic initially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0746CE" w:rsidP="009D31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Patients with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secondary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may have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 of the underlying disorder</w:t>
      </w:r>
      <w:r w:rsidR="009D31B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9159D" w:rsidRPr="003973B5" w:rsidRDefault="0079159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746CE" w:rsidRDefault="000746CE" w:rsidP="0079159D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0746CE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Elevated BP may be the only sign of primary hypertension on physical examination. 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Pr="00E05705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Diagnosis should be based on the average of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two or more</w:t>
      </w:r>
      <w:r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readings taken at each of two or more clinical encounters. 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Default="000746CE" w:rsidP="009D31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3-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Signs of end-organ damage occur primarily in the eyes, brain, heart, kidneys, and peripheral vasculature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9D31B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9D31BD" w:rsidRPr="004A73A6" w:rsidRDefault="009D31BD" w:rsidP="009D31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05882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Treatment </w:t>
      </w:r>
    </w:p>
    <w:p w:rsidR="00405882" w:rsidRDefault="00405882" w:rsidP="00E057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Goals of Treatment: The overall goal is to reduce morbidity and mortality from CV events. The 2017 ACC/AHA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guideline recommends a goal BP of</w:t>
      </w:r>
      <w:r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E05705">
        <w:rPr>
          <w:rFonts w:asciiTheme="majorBidi" w:hAnsiTheme="majorBidi" w:cstheme="majorBidi"/>
          <w:b/>
          <w:bCs/>
          <w:color w:val="333333"/>
          <w:sz w:val="28"/>
          <w:szCs w:val="28"/>
        </w:rPr>
        <w:t>&lt;130/80 mm Hg for most patients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405882" w:rsidRPr="004A73A6" w:rsidRDefault="00405882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405882" w:rsidP="003A2C7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For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institutionalized older patients and those with a high disease burden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or limited life expectancy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consider a relaxed SBP goal of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&lt;150 mm Hg (or &lt;140 mm Hg if tolerated).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405882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A-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Implement lifestyle modifications in all patients with elevated BP or stage 1 or 2 hypertension. </w:t>
      </w:r>
    </w:p>
    <w:p w:rsidR="00405882" w:rsidRPr="004A73A6" w:rsidRDefault="00405882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05882" w:rsidRDefault="001C6CD8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B</w:t>
      </w:r>
      <w:r w:rsidR="00405882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Lifestyle modific</w:t>
      </w:r>
      <w:r w:rsidR="00405882">
        <w:rPr>
          <w:rFonts w:asciiTheme="majorBidi" w:hAnsiTheme="majorBidi" w:cstheme="majorBidi"/>
          <w:color w:val="333333"/>
          <w:sz w:val="28"/>
          <w:szCs w:val="28"/>
        </w:rPr>
        <w:t>ations shown to lower BP include</w:t>
      </w:r>
      <w:r w:rsidR="00926008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:rsidR="0045125D" w:rsidRPr="0045125D" w:rsidRDefault="0045125D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(1)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loss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if overweight or obese, (2) the Dietary Approaches to Stop Hypertension (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DASH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40588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eating plan, (3)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reduced salt intake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ideally to 1.5 g/day sodium (3.8 g/day </w:t>
      </w:r>
      <w:r w:rsidRPr="000746CE">
        <w:rPr>
          <w:rFonts w:asciiTheme="majorBidi" w:hAnsiTheme="majorBidi" w:cstheme="majorBidi"/>
          <w:color w:val="333333"/>
          <w:sz w:val="28"/>
          <w:szCs w:val="28"/>
        </w:rPr>
        <w:t>sodium chloride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), (4)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physical activity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>90–150 min/week of aerobic or</w:t>
      </w:r>
      <w:r w:rsidR="00405882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>dynamic resistance training)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and (5)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moderation of alcohol intake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. Although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smoking</w:t>
      </w:r>
      <w:r w:rsidR="0040588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cessation does not control BP, it reduces CV disease risk and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be encouraged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45125D" w:rsidRPr="00405882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General Approach to Treatment</w:t>
      </w:r>
    </w:p>
    <w:p w:rsidR="0045125D" w:rsidRPr="0045125D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Initial drug selection depends on the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degree of BP elevation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and presence of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compelling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indications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for certain drugs.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05882" w:rsidRPr="00926008" w:rsidRDefault="00405882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Use a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single first-line drug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as initial therapy in most patients with newly diagnosed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stage 1 hypertension. </w:t>
      </w:r>
    </w:p>
    <w:p w:rsidR="00C620DD" w:rsidRPr="003973B5" w:rsidRDefault="00C620DD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405882" w:rsidP="00C620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Start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combination drug therapy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(preferably with two first-line drugs) as the initial regimen in patients with newly diagnosed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stage 2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926008" w:rsidRDefault="00405882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four first-line options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are angiotensin-converting enzyme (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ACE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) inhibitors,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angiotensin II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receptor blockers (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ARBs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), calcium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channel blockers (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CCBs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), and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thiazide diuretics.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405882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β-Blockers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should be reserved to treat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a specific compelling indication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or in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combination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with a first-line antihypertensive agent for patients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without a compelling indication.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926008" w:rsidRDefault="00405882" w:rsidP="009260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Other antihypertensive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drug classes (α1-blockers, direct renin inhibitors, central α2-agonists, and direct arterial vasodilators) may be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used for select patients </w:t>
      </w:r>
      <w:r w:rsidR="0045125D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after implementing first-line agents. </w:t>
      </w:r>
    </w:p>
    <w:p w:rsidR="00926008" w:rsidRPr="004A73A6" w:rsidRDefault="00926008" w:rsidP="009260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Compelling Indications</w:t>
      </w:r>
    </w:p>
    <w:p w:rsidR="00C620DD" w:rsidRDefault="0045125D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Compelling indications are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specific comorbid conditions for which clinical trial data support using specific antihypertensive drug classes to treat</w:t>
      </w:r>
      <w:r w:rsidR="00405882"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926008">
        <w:rPr>
          <w:rFonts w:asciiTheme="majorBidi" w:hAnsiTheme="majorBidi" w:cstheme="majorBidi"/>
          <w:b/>
          <w:bCs/>
          <w:color w:val="333333"/>
          <w:sz w:val="28"/>
          <w:szCs w:val="28"/>
        </w:rPr>
        <w:t>both hypertension and the compelling indication</w:t>
      </w:r>
      <w:r w:rsidR="001C6CD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20DD" w:rsidRDefault="00C620DD" w:rsidP="0022316E">
      <w:pPr>
        <w:autoSpaceDE w:val="0"/>
        <w:autoSpaceDN w:val="0"/>
        <w:bidi w:val="0"/>
        <w:adjustRightInd w:val="0"/>
        <w:spacing w:after="0" w:line="240" w:lineRule="auto"/>
        <w:jc w:val="center"/>
        <w:outlineLvl w:val="3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504C4D" wp14:editId="187AD3E0">
            <wp:extent cx="6543675" cy="2981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0644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6E" w:rsidRPr="001C6CD8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1C6CD8">
        <w:rPr>
          <w:rFonts w:asciiTheme="majorBidi" w:hAnsiTheme="majorBidi" w:cstheme="majorBidi"/>
          <w:b/>
          <w:bCs/>
          <w:color w:val="0000FF"/>
          <w:sz w:val="28"/>
          <w:szCs w:val="28"/>
        </w:rPr>
        <w:t>Notes:</w:t>
      </w:r>
    </w:p>
    <w:p w:rsidR="0022316E" w:rsidRPr="001C6CD8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color w:val="333333"/>
          <w:sz w:val="28"/>
          <w:szCs w:val="28"/>
        </w:rPr>
      </w:pP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>-β-Blockers (without ISA) are first-line therapy in Stable Ischemic Heart Disease (SIHD).</w:t>
      </w:r>
    </w:p>
    <w:p w:rsidR="0022316E" w:rsidRPr="003973B5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22316E" w:rsidRPr="001C6CD8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2-For acute coronary syndromes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, first-line therapy includes </w:t>
      </w: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a β-blocker and ACE inhibitor (or ARB)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22316E" w:rsidRPr="003973B5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22316E" w:rsidRPr="001C6CD8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Any first-line agent can be used to control hypertension in patients with diabetes in the absence of albuminuria.</w:t>
      </w:r>
    </w:p>
    <w:p w:rsidR="00A9358F" w:rsidRPr="003973B5" w:rsidRDefault="00A9358F" w:rsidP="00A9358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9358F" w:rsidRPr="001C6CD8" w:rsidRDefault="00A9358F" w:rsidP="00A9358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In addition to lowering BP, ACE inhibitors and ARBs reduce intraglomerular pressure, which may further slow </w:t>
      </w: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kidney disease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progression.</w:t>
      </w:r>
    </w:p>
    <w:p w:rsidR="0022316E" w:rsidRPr="003973B5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22316E" w:rsidRPr="000746CE" w:rsidRDefault="00A9358F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5</w:t>
      </w:r>
      <w:r w:rsidR="0022316E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22316E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The threshold for starting antihypertensive drug therapy in patients </w:t>
      </w:r>
      <w:r w:rsidR="0022316E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a history of stroke is</w:t>
      </w:r>
      <w:r w:rsidR="0022316E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2316E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BP is &gt;140/90 mm Hg</w:t>
      </w:r>
      <w:r w:rsidR="0022316E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(goal of &lt;130/80 mm Hg).</w:t>
      </w:r>
    </w:p>
    <w:p w:rsidR="0022316E" w:rsidRPr="003973B5" w:rsidRDefault="0022316E" w:rsidP="002231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  <w:r w:rsidRPr="003973B5">
        <w:rPr>
          <w:rFonts w:asciiTheme="majorBidi" w:hAnsiTheme="majorBidi" w:cstheme="majorBidi"/>
          <w:b/>
          <w:bCs/>
          <w:color w:val="333333"/>
          <w:sz w:val="16"/>
          <w:szCs w:val="16"/>
        </w:rPr>
        <w:t xml:space="preserve"> </w:t>
      </w:r>
    </w:p>
    <w:p w:rsidR="0045125D" w:rsidRPr="004A73A6" w:rsidRDefault="0045125D" w:rsidP="001C6CD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color w:val="333333"/>
          <w:sz w:val="28"/>
          <w:szCs w:val="28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Angiotensin-Converting Enzyme Inhibitors</w:t>
      </w:r>
      <w:r w:rsidR="004A73A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(captopril,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enalapril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fosinopril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imidapril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4A73A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lisinopril, perindopril, quinapril,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ramipril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trandolapril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)</w:t>
      </w:r>
    </w:p>
    <w:p w:rsidR="004A73A6" w:rsidRPr="004A73A6" w:rsidRDefault="004A73A6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022299" w:rsidP="004A73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ACE inhibitors block conversion of angiotensin I to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angiotensin II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a potent vasoconstrictor and stimulator of aldosterone secretion. </w:t>
      </w:r>
    </w:p>
    <w:p w:rsidR="00022299" w:rsidRPr="004A73A6" w:rsidRDefault="00022299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022299" w:rsidP="00690A2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690A20">
        <w:rPr>
          <w:rFonts w:asciiTheme="majorBidi" w:hAnsiTheme="majorBidi" w:cstheme="majorBidi"/>
          <w:b/>
          <w:bCs/>
          <w:color w:val="333333"/>
          <w:sz w:val="28"/>
          <w:szCs w:val="28"/>
        </w:rPr>
        <w:t>Starting doses should be low with slow dose titration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. Acute hypotension may occur at the onset of therapy. </w:t>
      </w:r>
    </w:p>
    <w:p w:rsidR="00022299" w:rsidRPr="004A73A6" w:rsidRDefault="00022299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022299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ACE inhibitors decrease aldosterone and can increase serum potassium concentrations. </w:t>
      </w:r>
      <w:r w:rsidR="0045125D" w:rsidRPr="00690A20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Hyperkalemia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occurs primarily in patients with CKD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those also taking potassium supplements, potassium-sparing diuretics, mineralocorticoid receptor antagonists, ARBs, or direct renin inhibitors.</w:t>
      </w:r>
    </w:p>
    <w:p w:rsidR="00022299" w:rsidRPr="004A73A6" w:rsidRDefault="00022299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022299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45125D" w:rsidRPr="00690A20">
        <w:rPr>
          <w:rFonts w:asciiTheme="majorBidi" w:hAnsiTheme="majorBidi" w:cstheme="majorBidi"/>
          <w:b/>
          <w:bCs/>
          <w:color w:val="333333"/>
          <w:sz w:val="28"/>
          <w:szCs w:val="28"/>
        </w:rPr>
        <w:t>AKI is an uncommon but serious side effect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; preexisting kidney disease increases risk. Bilateral renal artery stenosis or unilateral stenosis </w:t>
      </w:r>
      <w:r w:rsidR="001C6CD8">
        <w:rPr>
          <w:rFonts w:asciiTheme="majorBidi" w:hAnsiTheme="majorBidi" w:cstheme="majorBidi"/>
          <w:color w:val="333333"/>
          <w:sz w:val="28"/>
          <w:szCs w:val="28"/>
        </w:rPr>
        <w:t xml:space="preserve">are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particularly susceptible to AKI.</w:t>
      </w:r>
    </w:p>
    <w:p w:rsidR="00022299" w:rsidRPr="004A73A6" w:rsidRDefault="00022299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022299" w:rsidP="00690A2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Serum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creatinine concentrations often increase, but modest elevations (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absolute increases &lt;1 mg/dL) </w:t>
      </w:r>
      <w:r w:rsidR="0045125D" w:rsidRPr="00690A20">
        <w:rPr>
          <w:rFonts w:asciiTheme="majorBidi" w:hAnsiTheme="majorBidi" w:cstheme="majorBidi"/>
          <w:b/>
          <w:bCs/>
          <w:color w:val="333333"/>
          <w:sz w:val="28"/>
          <w:szCs w:val="28"/>
        </w:rPr>
        <w:t>do not warrant treatment changes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690A2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Discontinue therapy or reduce dose if larger increases occur.</w:t>
      </w:r>
    </w:p>
    <w:p w:rsidR="00690A20" w:rsidRPr="003973B5" w:rsidRDefault="00690A20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022299" w:rsidRDefault="00690A20" w:rsidP="00690A2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6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Angioedema occurs in &lt;1% of patients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 Drug withdrawal is necessary, and some patients may require drug treatment and/or emergent intubation</w:t>
      </w:r>
      <w:r w:rsidR="0002229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to support respiration. </w:t>
      </w:r>
    </w:p>
    <w:p w:rsidR="00022299" w:rsidRPr="004A73A6" w:rsidRDefault="00022299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FC7499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An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ARB can generally be used in patients with a history of ACE inhibitor-induced angioedema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, with careful monitoring.</w:t>
      </w:r>
    </w:p>
    <w:p w:rsidR="00022299" w:rsidRPr="004A73A6" w:rsidRDefault="00022299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FC7499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02229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persistent dry cough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occurs in up to 20% of patients and is thought to be due to inhibition of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bradykinin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breakdown.</w:t>
      </w:r>
    </w:p>
    <w:p w:rsidR="00022299" w:rsidRPr="004A73A6" w:rsidRDefault="00022299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FC7499" w:rsidRDefault="00A4355F" w:rsidP="000222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02229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ACE inhibitors (as well as ARBs and direct renin inhibitors) are contraindicated in pregnancy.</w:t>
      </w:r>
    </w:p>
    <w:p w:rsidR="00022299" w:rsidRPr="004A73A6" w:rsidRDefault="00022299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A73A6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color w:val="333333"/>
          <w:sz w:val="28"/>
          <w:szCs w:val="28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Angiotensin II Receptor Blockers</w:t>
      </w:r>
      <w:r w:rsidR="004A73A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(candesartan,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eprosartan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4A73A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irbesartan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, losartan,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olmesartan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telmisartan</w:t>
      </w:r>
      <w:proofErr w:type="spellEnd"/>
      <w:r w:rsidR="004A73A6" w:rsidRPr="004A73A6">
        <w:rPr>
          <w:rFonts w:asciiTheme="majorBidi" w:hAnsiTheme="majorBidi" w:cstheme="majorBidi"/>
          <w:color w:val="333333"/>
          <w:sz w:val="28"/>
          <w:szCs w:val="28"/>
        </w:rPr>
        <w:t>, and valsartan)</w:t>
      </w:r>
    </w:p>
    <w:p w:rsidR="004A73A6" w:rsidRPr="004A73A6" w:rsidRDefault="004A73A6" w:rsidP="005D3E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5D3E7B" w:rsidP="004A73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The ARBs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directly block the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angiotensin II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type 1 receptor that mediates the effects of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angiotensin II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D3E7B" w:rsidRPr="004A73A6" w:rsidRDefault="005D3E7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5D3E7B" w:rsidP="00FC74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Unlike ACE inhibitors,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ARBs do not block </w:t>
      </w:r>
      <w:proofErr w:type="spellStart"/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bradykinin</w:t>
      </w:r>
      <w:proofErr w:type="spellEnd"/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breakdown</w:t>
      </w:r>
      <w:r w:rsidR="00FC7499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this accounts for the lack of cough as a side effect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D3E7B" w:rsidRPr="004A73A6" w:rsidRDefault="005D3E7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1C6CD8" w:rsidP="005D3E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D3E7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ARBs have a low incidence of side effects. Like ACE inhibitors, they may cause renal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insufficiency, hyperkalemia, and orthostatic hypotension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D3E7B" w:rsidRPr="004A73A6" w:rsidRDefault="005D3E7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Calcium Channel Blockers</w:t>
      </w:r>
    </w:p>
    <w:p w:rsidR="0045125D" w:rsidRPr="0045125D" w:rsidRDefault="005D3E7B" w:rsidP="005D3E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Dihydropyridine and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nondihydropyridine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CCBs are first-line antihypertensive therapies and are also used in addition to or instead of other first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line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agents for the compelling indication of ischemic heart disease.</w:t>
      </w:r>
    </w:p>
    <w:p w:rsidR="005D3E7B" w:rsidRPr="004A73A6" w:rsidRDefault="005D3E7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5D3E7B" w:rsidP="00FC74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Dihydropyridine CCBs may cause reflex sympathetic activation,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and all agents (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except amlodipine and felodipine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may have negative inotropic effects.</w:t>
      </w:r>
    </w:p>
    <w:p w:rsidR="005D3E7B" w:rsidRPr="004A73A6" w:rsidRDefault="005D3E7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FC7499" w:rsidRDefault="00FC7499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D3E7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Verapamil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produces a negative inotropic effect that may precipitate HF in</w:t>
      </w:r>
      <w:r w:rsidR="005D3E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patients with borderline cardiac reserve.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Diltiazem decreases heart rate to a lesser extent than verapamil.</w:t>
      </w:r>
    </w:p>
    <w:p w:rsidR="005D3E7B" w:rsidRPr="004A73A6" w:rsidRDefault="005D3E7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FC7499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5D3E7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Both </w:t>
      </w:r>
      <w:r w:rsid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d</w:t>
      </w:r>
      <w:r w:rsidR="00A9358F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iltiazem and verapamil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can cause peripheral edema and</w:t>
      </w:r>
      <w:r w:rsidR="0063410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hypotension.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Verapamil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causes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constipation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in about 7% of patients.</w:t>
      </w:r>
    </w:p>
    <w:p w:rsidR="004A73A6" w:rsidRPr="004A73A6" w:rsidRDefault="004A73A6" w:rsidP="0063410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FC7499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63410E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BF5A65">
        <w:rPr>
          <w:rFonts w:asciiTheme="majorBidi" w:hAnsiTheme="majorBidi" w:cstheme="majorBidi"/>
          <w:b/>
          <w:bCs/>
          <w:color w:val="333333"/>
          <w:sz w:val="28"/>
          <w:szCs w:val="28"/>
        </w:rPr>
        <w:t>Dihydropyridines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cause a baroreceptor-mediated </w:t>
      </w:r>
      <w:r w:rsidR="0045125D" w:rsidRPr="00BF5A65">
        <w:rPr>
          <w:rFonts w:asciiTheme="majorBidi" w:hAnsiTheme="majorBidi" w:cstheme="majorBidi"/>
          <w:b/>
          <w:bCs/>
          <w:color w:val="333333"/>
          <w:sz w:val="28"/>
          <w:szCs w:val="28"/>
        </w:rPr>
        <w:t>reflex increase in heart rate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because of potent peripheral vasodilating effects. Other side effects of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dihydropyridines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are dizziness,</w:t>
      </w:r>
      <w:r w:rsidR="0063410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flushing, headache, gingival hyperplasia, and peripheral edema.</w:t>
      </w:r>
    </w:p>
    <w:p w:rsidR="0063410E" w:rsidRPr="004A73A6" w:rsidRDefault="0063410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45125D" w:rsidP="001C6CD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color w:val="333333"/>
          <w:sz w:val="28"/>
          <w:szCs w:val="28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Diuretics</w:t>
      </w:r>
    </w:p>
    <w:p w:rsidR="0045125D" w:rsidRPr="0045125D" w:rsidRDefault="0063410E" w:rsidP="0063410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Thiazides are the preferred type of diuretic and are a first-line option for most patients with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proofErr w:type="spellStart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Chlorthalidone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(thiazide-like) is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preferred over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hydrochlorothiazide,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especially in resistant hypertension, because it is more potent on a milligram-per-milligram basis.</w:t>
      </w:r>
    </w:p>
    <w:p w:rsidR="0063410E" w:rsidRPr="004A73A6" w:rsidRDefault="0063410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63410E" w:rsidP="00FC74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Loop diuretics </w:t>
      </w:r>
      <w:r w:rsidR="004A73A6">
        <w:rPr>
          <w:rFonts w:asciiTheme="majorBidi" w:hAnsiTheme="majorBidi" w:cstheme="majorBidi"/>
          <w:b/>
          <w:bCs/>
          <w:color w:val="333333"/>
          <w:sz w:val="28"/>
          <w:szCs w:val="28"/>
        </w:rPr>
        <w:t>(</w:t>
      </w:r>
      <w:r w:rsidR="004A73A6">
        <w:rPr>
          <w:rFonts w:ascii="Times New Roman" w:hAnsi="Times New Roman" w:cs="Times New Roman"/>
          <w:sz w:val="28"/>
          <w:szCs w:val="28"/>
        </w:rPr>
        <w:t xml:space="preserve">Furosemide, Bumetanide and </w:t>
      </w:r>
      <w:proofErr w:type="spellStart"/>
      <w:r w:rsidR="004A73A6">
        <w:rPr>
          <w:rFonts w:ascii="Times New Roman" w:hAnsi="Times New Roman" w:cs="Times New Roman"/>
          <w:sz w:val="28"/>
          <w:szCs w:val="28"/>
        </w:rPr>
        <w:t>Torasemide</w:t>
      </w:r>
      <w:proofErr w:type="spellEnd"/>
      <w:r w:rsidR="004A73A6">
        <w:rPr>
          <w:rFonts w:ascii="Times New Roman" w:hAnsi="Times New Roman" w:cs="Times New Roman"/>
          <w:sz w:val="28"/>
          <w:szCs w:val="28"/>
        </w:rPr>
        <w:t xml:space="preserve">)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are more potent for inducing diuresis but are not ideal antihypertensives unless edema treatment is also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needed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 Loop diuretics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are sometimes required over thiazides in patients with severe CKD when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eGFR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&lt;30 mL/min/1.73 m</w:t>
      </w:r>
      <w:r w:rsidR="0045125D" w:rsidRPr="00FC7499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2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, especially when edema is present.</w:t>
      </w:r>
    </w:p>
    <w:p w:rsidR="0063410E" w:rsidRPr="004A73A6" w:rsidRDefault="0063410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63410E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Potassium-sparing diuretics are weak antihypertensives when used alone</w:t>
      </w:r>
      <w:r w:rsidR="001C6CD8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Their primary use is in combination with another diuretic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to counteract potassium-wasting properties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3410E" w:rsidRPr="004A73A6" w:rsidRDefault="0063410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63410E" w:rsidP="00FC74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Mineralocorticoid receptor antagonists (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spironolactone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eplerenone)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are also potassium-sparing diuretics that are usually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used to treat</w:t>
      </w:r>
      <w:r w:rsidR="00FC7499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resistant hypertension because elevated aldosterone concentrations are prevalent in this setting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 They are also used as add-on agents in patients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with </w:t>
      </w:r>
      <w:proofErr w:type="spellStart"/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HFrEF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with or without concomitant hypertension.</w:t>
      </w:r>
    </w:p>
    <w:p w:rsidR="0063410E" w:rsidRPr="004A73A6" w:rsidRDefault="0063410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A4491" w:rsidRPr="0045125D" w:rsidRDefault="001A4491" w:rsidP="00FC74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Acutely, diuretics lower BP by causing diuresis. With chronic therapy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C7499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r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educed</w:t>
      </w:r>
      <w:r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peripheral vascular resistance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responsible for persistent hypotensive effects. 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A4491" w:rsidRDefault="001C6CD8" w:rsidP="00FC74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Side effects of thiazides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include hypokalemia,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hypomagnesemia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, hypercalcemia, hyperuricemia, hyperglycemia, dyslipidemia, and sexual</w:t>
      </w:r>
      <w:r w:rsidR="00FC749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dysfunction. </w:t>
      </w:r>
    </w:p>
    <w:p w:rsidR="001A4491" w:rsidRPr="004A73A6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BF5A65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Loop diuretics have less effect on serum lipids and glucose, but hypokalemia is more pronounced, and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hypocalcemia may occur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BF5A65" w:rsidP="003A2C7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Hypokalemia and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hypomagnesemia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may cause muscle fatigue or cramps, and severe electrolyte abnormalities may result in serious cardiac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arrhythmias. 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A4491" w:rsidRDefault="00BF5A65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Potassium-sparing diuretics may cause hyperkalemia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, especially in patients with CKD or diabetes and in patients receiving concurrent treatment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with a mineralocorticoid receptor antagonist, ACE inhibitor, ARB, direct renin inhibitor, or potassium supplement.</w:t>
      </w:r>
    </w:p>
    <w:p w:rsidR="001A4491" w:rsidRPr="004A73A6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1A4491" w:rsidP="00BF5A6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BF5A65">
        <w:rPr>
          <w:rFonts w:asciiTheme="majorBidi" w:hAnsiTheme="majorBidi" w:cstheme="majorBidi"/>
          <w:color w:val="333333"/>
          <w:sz w:val="28"/>
          <w:szCs w:val="28"/>
        </w:rPr>
        <w:t>0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Spironolactone may</w:t>
      </w:r>
      <w:r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cause </w:t>
      </w:r>
      <w:proofErr w:type="spellStart"/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gynecomastia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in up to 10% of patients; this effect occurs rarely with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eplerenone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5125D" w:rsidRPr="004A73A6" w:rsidRDefault="0045125D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β-Blockers</w:t>
      </w:r>
    </w:p>
    <w:p w:rsidR="0045125D" w:rsidRPr="0045125D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Evidence suggests that β-blockers may not reduce CV events as well as ACE inhibitors, ARBs, CCBs, or thiazides when used as the initial drug in</w:t>
      </w:r>
      <w:r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who do not have a compelling indication for a β-blocker.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A4491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β-Blockers are appropriate </w:t>
      </w:r>
      <w:r w:rsidR="0045125D" w:rsidRPr="00FC7499">
        <w:rPr>
          <w:rFonts w:asciiTheme="majorBidi" w:hAnsiTheme="majorBidi" w:cstheme="majorBidi"/>
          <w:b/>
          <w:bCs/>
          <w:color w:val="333333"/>
          <w:sz w:val="28"/>
          <w:szCs w:val="28"/>
        </w:rPr>
        <w:t>first-line agents when used to treat specific compelling indications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or when an ACE inhibitor, ARB, CCB,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thiazide cannot be used. </w:t>
      </w:r>
    </w:p>
    <w:p w:rsidR="001A4491" w:rsidRPr="004A73A6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1C6CD8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Atenolol, </w:t>
      </w:r>
      <w:proofErr w:type="spellStart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betaxolol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bisoprolol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metoprolol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nebivolol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are </w:t>
      </w:r>
      <w:r w:rsidR="00721505" w:rsidRPr="0045125D">
        <w:rPr>
          <w:rFonts w:asciiTheme="majorBidi" w:hAnsiTheme="majorBidi" w:cstheme="majorBidi"/>
          <w:color w:val="333333"/>
          <w:sz w:val="28"/>
          <w:szCs w:val="28"/>
        </w:rPr>
        <w:t>β1</w:t>
      </w:r>
      <w:r w:rsidR="0072150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cardioselective at low</w:t>
      </w:r>
      <w:r w:rsidR="00AA1B8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A1B80" w:rsidRPr="001C6CD8">
        <w:rPr>
          <w:rFonts w:asciiTheme="majorBidi" w:hAnsiTheme="majorBidi" w:cstheme="majorBidi"/>
          <w:color w:val="333333"/>
          <w:sz w:val="28"/>
          <w:szCs w:val="28"/>
        </w:rPr>
        <w:t>dose</w:t>
      </w:r>
      <w:r w:rsidR="0045125D" w:rsidRPr="001C6CD8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As a result, they are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less likely to provoke bronchospasm and vasoconstriction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and are safer than nonselective β-blockers in patients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with asthma or diabetes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Cardioselectivity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a dose-dependent phenomenon, and the effect is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lost at higher doses.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1C6CD8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Acebutolol, </w:t>
      </w:r>
      <w:proofErr w:type="spellStart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carteolol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proofErr w:type="spellStart"/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pindolol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possess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intrinsic sympathomimetic activity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(ISA) or partial β-receptor agonist activity. Theoretically, these drugs may have advantages in select patients with HF or sinus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bradycardia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Unfortunately,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do not reduce CV events as well as other β-blockers and may increase CV risk in patients with SIHD. Thus, agents with ISA are</w:t>
      </w:r>
      <w:r w:rsidR="001A4491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rarely needed and have no role in hypertension management.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A4491" w:rsidRDefault="001C6CD8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Atenolol and </w:t>
      </w:r>
      <w:proofErr w:type="spellStart"/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nadolol</w:t>
      </w:r>
      <w:proofErr w:type="spellEnd"/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have relatively long half-lives and are excreted renally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; the dosage may need to be reduced in patients with renal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insufficiency. </w:t>
      </w:r>
    </w:p>
    <w:p w:rsidR="001A4491" w:rsidRPr="004A73A6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1C6CD8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Even though the half-lives of other β-blockers are shorter, once-daily administration still may be effective.</w:t>
      </w:r>
    </w:p>
    <w:p w:rsidR="001A4491" w:rsidRPr="003973B5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1A4491" w:rsidRDefault="001C6CD8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BF5A65">
        <w:rPr>
          <w:rFonts w:asciiTheme="majorBidi" w:hAnsiTheme="majorBidi" w:cstheme="majorBidi"/>
          <w:b/>
          <w:bCs/>
          <w:color w:val="333333"/>
          <w:sz w:val="28"/>
          <w:szCs w:val="28"/>
        </w:rPr>
        <w:t>Cardiac side effects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include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bradycardia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, AV conduction abnormalities, and acute HF. Blocking β2-receptors in arteriolar smooth muscle may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cause cold extremities and aggravate intermittent claudication or Raynaud phenomenon because of decreased peripheral blood flow. </w:t>
      </w:r>
    </w:p>
    <w:p w:rsidR="001A4491" w:rsidRPr="004A73A6" w:rsidRDefault="001A4491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1C6CD8" w:rsidP="001A4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Increases</w:t>
      </w:r>
      <w:r w:rsidR="001A44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in serum lipids and glucose appear to be transient and of little clinical significance.</w:t>
      </w:r>
    </w:p>
    <w:p w:rsidR="001A4491" w:rsidRPr="004A73A6" w:rsidRDefault="001A449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A1B80" w:rsidRPr="0045125D" w:rsidRDefault="001C6CD8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1A4491" w:rsidRPr="001C6CD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A1B80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Abrupt cessation of β-blockers should be avoided. The dose should always be tapered gradually over 1–2 weeks before discontinuation</w:t>
      </w:r>
      <w:r w:rsidR="00AA1B80" w:rsidRPr="001C6CD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A1B80" w:rsidRPr="003973B5" w:rsidRDefault="00AA1B80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α1-Receptor Blockers</w:t>
      </w:r>
    </w:p>
    <w:p w:rsidR="0045125D" w:rsidRDefault="001467B2" w:rsidP="001467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Prazosin, terazosin,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proofErr w:type="spellStart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>doxazosin</w:t>
      </w:r>
      <w:proofErr w:type="spellEnd"/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are selective α1-receptor blockers that inhibit catecholamine uptake in smooth muscle cells of peripheral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vasculature, resulting in vasodilation and BP lowering.</w:t>
      </w:r>
    </w:p>
    <w:p w:rsidR="00AA1B80" w:rsidRPr="003973B5" w:rsidRDefault="00AA1B80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A1B80" w:rsidRDefault="00AA1B80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2-Although they can provide symptomatic benefit in men with benign prostatic hyperplasia, </w:t>
      </w:r>
      <w:r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should be used to lower BP only in combination with first-line antihypertensive agents</w:t>
      </w:r>
      <w:r w:rsidRPr="001C6CD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A1B80" w:rsidRPr="003973B5" w:rsidRDefault="00AA1B80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Direct Renin Inhibitor</w:t>
      </w:r>
    </w:p>
    <w:p w:rsidR="0045125D" w:rsidRPr="00721505" w:rsidRDefault="0045125D" w:rsidP="007215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Aliskiren</w:t>
      </w:r>
      <w:r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>blocks the RAAS at its point of activation, resulting in reduced plasma renin activity and BP. It is approved for monotherapy or in</w:t>
      </w:r>
      <w:r w:rsidR="001467B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>combination therapy.</w:t>
      </w:r>
      <w:r w:rsidR="007215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Its role in the management of hypertension is limited.</w:t>
      </w:r>
    </w:p>
    <w:p w:rsidR="001467B2" w:rsidRPr="004A73A6" w:rsidRDefault="001467B2" w:rsidP="001467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Central α2-Agonists</w:t>
      </w:r>
    </w:p>
    <w:p w:rsidR="001467B2" w:rsidRPr="0045125D" w:rsidRDefault="001467B2" w:rsidP="001467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Clonidine, </w:t>
      </w:r>
      <w:proofErr w:type="spellStart"/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guanfacine</w:t>
      </w:r>
      <w:proofErr w:type="spellEnd"/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, and methyldopa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lower BP primarily by stimulating α2-adrenergic receptors in the brain, which reduces sympathetic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outflow from the vasomotor center.</w:t>
      </w:r>
    </w:p>
    <w:p w:rsidR="001467B2" w:rsidRPr="004A73A6" w:rsidRDefault="001467B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721505" w:rsidRDefault="001467B2" w:rsidP="001467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Clonidine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is often used in resistant hypertension, and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methyldopa is frequently used for pregnancy-induced hypertension.</w:t>
      </w:r>
    </w:p>
    <w:p w:rsidR="001467B2" w:rsidRPr="004A73A6" w:rsidRDefault="001467B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Direct Arterial Vasodilators</w:t>
      </w:r>
    </w:p>
    <w:p w:rsidR="0045125D" w:rsidRPr="0045125D" w:rsidRDefault="0045125D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Hydralazine</w:t>
      </w:r>
      <w:r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proofErr w:type="spellStart"/>
      <w:r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minoxidil</w:t>
      </w:r>
      <w:proofErr w:type="spellEnd"/>
      <w:r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directly relax arteriolar smooth muscle, resulting in vasodilation and BP lowering. </w:t>
      </w:r>
    </w:p>
    <w:p w:rsidR="003973B5" w:rsidRPr="003973B5" w:rsidRDefault="003973B5" w:rsidP="001C6CD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45125D" w:rsidRPr="00022299" w:rsidRDefault="0045125D" w:rsidP="003973B5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Special Populations</w:t>
      </w: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Older Persons</w:t>
      </w:r>
    </w:p>
    <w:p w:rsidR="0045125D" w:rsidRPr="0045125D" w:rsidRDefault="001369C1" w:rsidP="001369C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Older patients may present with either isolated systolic hypertension or elevation in both SBP and DBP.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CV morbidity and mortality are more</w:t>
      </w:r>
      <w:r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directly correlated to SBP than to DBP in patients aged 50 and older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369C1" w:rsidP="001369C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First-line antihypertensives provide significant benefits and can be used safely in older patients,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but smaller-than-usual initial doses must be used</w:t>
      </w:r>
      <w:r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for initial therapy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3973B5" w:rsidRDefault="003973B5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45125D" w:rsidRPr="00022299" w:rsidRDefault="0045125D" w:rsidP="003973B5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Children and Adolescents</w:t>
      </w:r>
    </w:p>
    <w:p w:rsidR="0045125D" w:rsidRPr="0045125D" w:rsidRDefault="001C6CD8" w:rsidP="001369C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Because 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secondary hypertension is more common in children and adolescents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than in adults, an appropriate workup is required if elevated BP is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identified.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C6CD8" w:rsidP="007215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721505">
        <w:rPr>
          <w:rFonts w:asciiTheme="majorBidi" w:hAnsiTheme="majorBidi" w:cstheme="majorBidi"/>
          <w:b/>
          <w:bCs/>
          <w:color w:val="333333"/>
          <w:sz w:val="28"/>
          <w:szCs w:val="28"/>
        </w:rPr>
        <w:t>Nonpharmacologic treatment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the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cornerstone of therapy for primary</w:t>
      </w:r>
      <w:r w:rsidR="001369C1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BF5A65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bookmarkStart w:id="0" w:name="_GoBack"/>
      <w:bookmarkEnd w:id="0"/>
      <w:r w:rsidR="001369C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ACE inhibitors, ARBs, β-blockers, CCBs, and thiazide diuretics are all acceptable drug therapy choices.</w:t>
      </w:r>
    </w:p>
    <w:p w:rsidR="001369C1" w:rsidRPr="003973B5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Pregnancy</w:t>
      </w:r>
    </w:p>
    <w:p w:rsidR="0045125D" w:rsidRPr="0045125D" w:rsidRDefault="001369C1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Preeclampsia </w:t>
      </w:r>
      <w:r w:rsidR="001C6CD8" w:rsidRPr="001C6CD8">
        <w:rPr>
          <w:rFonts w:asciiTheme="majorBidi" w:hAnsiTheme="majorBidi" w:cstheme="majorBidi"/>
          <w:color w:val="333333"/>
          <w:sz w:val="28"/>
          <w:szCs w:val="28"/>
        </w:rPr>
        <w:t>(</w:t>
      </w:r>
      <w:r w:rsidR="001C6CD8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Further reading 1</w:t>
      </w:r>
      <w:r w:rsidR="001C6CD8" w:rsidRPr="001C6CD8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1C6CD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can lead to life-threatening complications for both mother and fetus.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369C1" w:rsidP="001369C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Eclampsia is the onset of convulsions in preeclampsia and is a medical emergency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369C1" w:rsidP="004B294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Definitive treatment of preeclampsia is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delivery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, and labor induction is indicated if </w:t>
      </w:r>
      <w:proofErr w:type="spellStart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eclampsia</w:t>
      </w:r>
      <w:proofErr w:type="spellEnd"/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imminent or present. Otherwise, management</w:t>
      </w:r>
      <w:r w:rsidR="004B294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consists of restricting activity, bed rest, and close monitoring. Salt restriction or other measures that contract blood volume should be avoided.</w:t>
      </w:r>
      <w:r w:rsidR="004B294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1369C1" w:rsidRPr="004A73A6" w:rsidRDefault="001369C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369C1" w:rsidP="001369C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Antihypertensives are used before induction of labor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if DBP is &gt;105 mm Hg, with a target DBP of 95–105 mm Hg. Intravenous (IV) </w:t>
      </w:r>
      <w:r w:rsidR="0045125D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hydralazine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is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most commonly used; IV 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labetalol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is also effective.</w:t>
      </w:r>
    </w:p>
    <w:p w:rsidR="00E05705" w:rsidRPr="004A73A6" w:rsidRDefault="00E05705" w:rsidP="001369C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369C1" w:rsidP="004B294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hypertension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is hypertension that predates pregnancy.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Labetalol, long-acting nifedipine, or methyldopa is recommended as first-line</w:t>
      </w:r>
      <w:r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therapy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due to favorable safety profiles. β-Blockers (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except atenolol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) and CCBs are also reasonable alternatives. </w:t>
      </w:r>
    </w:p>
    <w:p w:rsidR="009B224B" w:rsidRPr="004A73A6" w:rsidRDefault="009B224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22299" w:rsidRDefault="006A53BE" w:rsidP="006A53BE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C6CD8">
        <w:rPr>
          <w:rFonts w:asciiTheme="majorBidi" w:hAnsiTheme="majorBidi" w:cstheme="majorBidi"/>
          <w:b/>
          <w:bCs/>
          <w:color w:val="FF0000"/>
          <w:sz w:val="32"/>
          <w:szCs w:val="32"/>
        </w:rPr>
        <w:t>Black Patients</w:t>
      </w:r>
    </w:p>
    <w:p w:rsidR="009B224B" w:rsidRDefault="0045125D" w:rsidP="009B224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CCBs and thiazides are most effective in African Americans</w:t>
      </w:r>
      <w:r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and should be first-line in the absence of a compelling indication. </w:t>
      </w:r>
    </w:p>
    <w:p w:rsidR="009B224B" w:rsidRPr="003973B5" w:rsidRDefault="009B224B" w:rsidP="009B224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9B224B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9B224B">
        <w:rPr>
          <w:rFonts w:asciiTheme="majorBidi" w:hAnsiTheme="majorBidi" w:cstheme="majorBidi"/>
          <w:b/>
          <w:bCs/>
          <w:color w:val="FF0000"/>
          <w:sz w:val="32"/>
          <w:szCs w:val="32"/>
        </w:rPr>
        <w:t>Pulmonary Disease and Peripheral Arterial Disease</w:t>
      </w:r>
      <w:r w:rsidR="001369C1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1369C1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(PAD)</w:t>
      </w:r>
    </w:p>
    <w:p w:rsidR="009B224B" w:rsidRDefault="001369C1" w:rsidP="009B224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Although β-blockers (especially nonselective agents) have generally been avoided in hypertensive patients with asthma and COPD because of fear</w:t>
      </w:r>
      <w:r w:rsidR="009B224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of inducing bronchospasm, </w:t>
      </w:r>
      <w:proofErr w:type="spellStart"/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cardioselective</w:t>
      </w:r>
      <w:proofErr w:type="spellEnd"/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β-blockers can be used safely.</w:t>
      </w:r>
    </w:p>
    <w:p w:rsidR="009B224B" w:rsidRPr="004A73A6" w:rsidRDefault="009B224B" w:rsidP="009B224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746CE" w:rsidRDefault="004B2945" w:rsidP="004B294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β-Blockers can theoretically be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problematic 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 xml:space="preserve">in patients with </w:t>
      </w:r>
      <w:r w:rsidR="001369C1" w:rsidRPr="0045125D">
        <w:rPr>
          <w:rFonts w:asciiTheme="majorBidi" w:hAnsiTheme="majorBidi" w:cstheme="majorBidi"/>
          <w:color w:val="333333"/>
          <w:sz w:val="28"/>
          <w:szCs w:val="28"/>
        </w:rPr>
        <w:t>PAD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because of possible decreased peripheral blood flow secondary to unopposed stimulation of α1-receptors that results in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vasoconstriction. However,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available data indicate that β-blockers do not worsen claudication symptoms or cause functional impairment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1369C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Therefore,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antihypertensive treatment for patients with PAD should follow the same general principles as patients without PAD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B224B" w:rsidRPr="004A73A6" w:rsidRDefault="009B224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22299" w:rsidRDefault="0045125D" w:rsidP="006507B1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22299">
        <w:rPr>
          <w:rFonts w:asciiTheme="majorBidi" w:hAnsiTheme="majorBidi" w:cstheme="majorBidi"/>
          <w:b/>
          <w:bCs/>
          <w:color w:val="FF0000"/>
          <w:sz w:val="32"/>
          <w:szCs w:val="32"/>
        </w:rPr>
        <w:t>Hypertensive Urgencies and Emergencies</w:t>
      </w:r>
    </w:p>
    <w:p w:rsidR="0045125D" w:rsidRPr="0045125D" w:rsidRDefault="003A2C78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Acute administration of a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short-acting oral drug (captopril, clonidine, or labetalol)</w:t>
      </w:r>
      <w:r w:rsidR="0045125D" w:rsidRPr="000746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is an option.</w:t>
      </w:r>
    </w:p>
    <w:p w:rsidR="003A2C78" w:rsidRPr="003973B5" w:rsidRDefault="003A2C78" w:rsidP="004B294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5F6C1A" w:rsidRDefault="003A2C78" w:rsidP="00F838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9B224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Hypertensive emergencies require immediate BP reduction with a parenteral agent to limit new or progressing end-organ damage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B294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F8382D" w:rsidRPr="003973B5" w:rsidRDefault="00F8382D" w:rsidP="00F838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022299" w:rsidP="005F6C1A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9B224B" w:rsidRDefault="001C6CD8" w:rsidP="009B224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Evaluate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BP response in the clinic 4 weeks after initiating or making changes in therapy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and compare the results to home BP readings. </w:t>
      </w:r>
    </w:p>
    <w:p w:rsidR="009B224B" w:rsidRPr="004A73A6" w:rsidRDefault="009B224B" w:rsidP="009B224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5125D" w:rsidRDefault="001C6CD8" w:rsidP="003A2C7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9B224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goal</w:t>
      </w:r>
      <w:r w:rsidR="009B224B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BP is obtained, monitor BP every 3–6 months, 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assuming no signs or symptoms of acute end-organ damage. </w:t>
      </w:r>
    </w:p>
    <w:p w:rsidR="009B224B" w:rsidRPr="004A73A6" w:rsidRDefault="009B224B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B527DA" w:rsidRDefault="001C6CD8" w:rsidP="003A2C7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9B224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5125D" w:rsidRPr="004B2945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adherence with the regimen regularly</w:t>
      </w:r>
      <w:r w:rsidR="0045125D" w:rsidRPr="0045125D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A1B80" w:rsidRDefault="00AA1B80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A1B80" w:rsidRDefault="00AA1B80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B527DA" w:rsidRDefault="00B527DA" w:rsidP="00AA1B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F9109A" w:rsidRDefault="003973B5" w:rsidP="00F910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 12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Edition. 2023.</w:t>
      </w:r>
    </w:p>
    <w:p w:rsidR="003973B5" w:rsidRDefault="003973B5" w:rsidP="001C6CD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F9109A" w:rsidRDefault="001C6CD8" w:rsidP="003973B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Further reading</w:t>
      </w:r>
    </w:p>
    <w:p w:rsidR="00F9109A" w:rsidRDefault="00F9109A" w:rsidP="00F910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F9109A" w:rsidRDefault="00F9109A" w:rsidP="00F910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F9109A" w:rsidRPr="001C6CD8" w:rsidRDefault="001C6CD8" w:rsidP="001C6C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Preeclampsia is defined as </w:t>
      </w:r>
      <w:r w:rsidR="000059F9" w:rsidRPr="001C6CD8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hypertension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(elevated BP </w:t>
      </w:r>
      <w:r w:rsidR="000059F9" w:rsidRPr="001C6CD8">
        <w:rPr>
          <w:rFonts w:asciiTheme="majorBidi" w:hAnsiTheme="majorBidi" w:cstheme="majorBidi" w:hint="cs"/>
          <w:color w:val="333333"/>
          <w:sz w:val="28"/>
          <w:szCs w:val="28"/>
        </w:rPr>
        <w:t>≥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140/90 mm Hg on more than two occasions at least 4 hours apart </w:t>
      </w:r>
      <w:r w:rsidR="000059F9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>after 20 weeks</w:t>
      </w:r>
      <w:r w:rsidR="000059F9" w:rsidRPr="001C6CD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’</w:t>
      </w:r>
      <w:r w:rsidR="000059F9" w:rsidRPr="001C6C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gestation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0059F9" w:rsidRPr="001C6CD8">
        <w:rPr>
          <w:rFonts w:asciiTheme="majorBidi" w:hAnsiTheme="majorBidi" w:cstheme="majorBidi" w:hint="cs"/>
          <w:color w:val="333333"/>
          <w:sz w:val="28"/>
          <w:szCs w:val="28"/>
        </w:rPr>
        <w:t>≥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160/110 mm Hg confirmed within a short interval) and either </w:t>
      </w:r>
      <w:r w:rsidR="000059F9" w:rsidRPr="001C6CD8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proteinuria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 xml:space="preserve"> or new onset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>hypertension with the onset of thrombocytopenia,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>impaired liver function, new onset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>renal insufficiency, pulmonary edema, or new onset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059F9" w:rsidRPr="001C6CD8">
        <w:rPr>
          <w:rFonts w:asciiTheme="majorBidi" w:hAnsiTheme="majorBidi" w:cstheme="majorBidi"/>
          <w:color w:val="333333"/>
          <w:sz w:val="28"/>
          <w:szCs w:val="28"/>
        </w:rPr>
        <w:t>cerebral or visual disturbances</w:t>
      </w:r>
      <w:r w:rsidR="000059F9" w:rsidRPr="006A53BE">
        <w:rPr>
          <w:rFonts w:asciiTheme="majorBidi" w:hAnsiTheme="majorBidi" w:cstheme="majorBidi"/>
          <w:color w:val="333333"/>
          <w:sz w:val="28"/>
          <w:szCs w:val="28"/>
        </w:rPr>
        <w:t>.</w:t>
      </w:r>
    </w:p>
    <w:sectPr w:rsidR="00F9109A" w:rsidRPr="001C6CD8" w:rsidSect="0045125D">
      <w:footerReference w:type="default" r:id="rId11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56" w:rsidRDefault="00767D56" w:rsidP="009C79FE">
      <w:pPr>
        <w:spacing w:after="0" w:line="240" w:lineRule="auto"/>
      </w:pPr>
      <w:r>
        <w:separator/>
      </w:r>
    </w:p>
  </w:endnote>
  <w:endnote w:type="continuationSeparator" w:id="0">
    <w:p w:rsidR="00767D56" w:rsidRDefault="00767D56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A65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56" w:rsidRDefault="00767D56" w:rsidP="009C79FE">
      <w:pPr>
        <w:spacing w:after="0" w:line="240" w:lineRule="auto"/>
      </w:pPr>
      <w:r>
        <w:separator/>
      </w:r>
    </w:p>
  </w:footnote>
  <w:footnote w:type="continuationSeparator" w:id="0">
    <w:p w:rsidR="00767D56" w:rsidRDefault="00767D56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059F9"/>
    <w:rsid w:val="00022299"/>
    <w:rsid w:val="000746CE"/>
    <w:rsid w:val="00085EC1"/>
    <w:rsid w:val="000A39DD"/>
    <w:rsid w:val="000D6AAF"/>
    <w:rsid w:val="000F5D8E"/>
    <w:rsid w:val="00126BAA"/>
    <w:rsid w:val="001369C1"/>
    <w:rsid w:val="001467B2"/>
    <w:rsid w:val="0018108D"/>
    <w:rsid w:val="001835C9"/>
    <w:rsid w:val="001A0CEA"/>
    <w:rsid w:val="001A4491"/>
    <w:rsid w:val="001B1CA6"/>
    <w:rsid w:val="001C6CD8"/>
    <w:rsid w:val="001C7900"/>
    <w:rsid w:val="001E6AD2"/>
    <w:rsid w:val="001F3F9F"/>
    <w:rsid w:val="00202D23"/>
    <w:rsid w:val="0022316E"/>
    <w:rsid w:val="0023109D"/>
    <w:rsid w:val="00235686"/>
    <w:rsid w:val="00240FC2"/>
    <w:rsid w:val="00293D7B"/>
    <w:rsid w:val="002A56DF"/>
    <w:rsid w:val="002C1C55"/>
    <w:rsid w:val="002F42C5"/>
    <w:rsid w:val="00307E17"/>
    <w:rsid w:val="00324617"/>
    <w:rsid w:val="00324E72"/>
    <w:rsid w:val="003310D9"/>
    <w:rsid w:val="00337A94"/>
    <w:rsid w:val="00347D77"/>
    <w:rsid w:val="00394517"/>
    <w:rsid w:val="003973B5"/>
    <w:rsid w:val="003A2C78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5071B"/>
    <w:rsid w:val="0045125D"/>
    <w:rsid w:val="004722A3"/>
    <w:rsid w:val="004752B9"/>
    <w:rsid w:val="0048401C"/>
    <w:rsid w:val="00487060"/>
    <w:rsid w:val="004A73A6"/>
    <w:rsid w:val="004B2945"/>
    <w:rsid w:val="004B6F1E"/>
    <w:rsid w:val="004E1DCC"/>
    <w:rsid w:val="00516926"/>
    <w:rsid w:val="005627C5"/>
    <w:rsid w:val="00583888"/>
    <w:rsid w:val="005C3F80"/>
    <w:rsid w:val="005D1A07"/>
    <w:rsid w:val="005D3E7B"/>
    <w:rsid w:val="005F6C1A"/>
    <w:rsid w:val="0063410E"/>
    <w:rsid w:val="0065062A"/>
    <w:rsid w:val="006507B1"/>
    <w:rsid w:val="00653546"/>
    <w:rsid w:val="00655FED"/>
    <w:rsid w:val="00660CED"/>
    <w:rsid w:val="00690A20"/>
    <w:rsid w:val="006A53BE"/>
    <w:rsid w:val="006B389A"/>
    <w:rsid w:val="006D0591"/>
    <w:rsid w:val="00701BAE"/>
    <w:rsid w:val="00721505"/>
    <w:rsid w:val="007404A7"/>
    <w:rsid w:val="00741490"/>
    <w:rsid w:val="00747F03"/>
    <w:rsid w:val="00761A5B"/>
    <w:rsid w:val="007621C3"/>
    <w:rsid w:val="00767D56"/>
    <w:rsid w:val="00773A31"/>
    <w:rsid w:val="0079159D"/>
    <w:rsid w:val="007A0A8A"/>
    <w:rsid w:val="007B6004"/>
    <w:rsid w:val="007E68A8"/>
    <w:rsid w:val="007F19A1"/>
    <w:rsid w:val="00804049"/>
    <w:rsid w:val="00804825"/>
    <w:rsid w:val="00821E23"/>
    <w:rsid w:val="0082614D"/>
    <w:rsid w:val="008B4BC1"/>
    <w:rsid w:val="008C6270"/>
    <w:rsid w:val="008D2536"/>
    <w:rsid w:val="008D5E15"/>
    <w:rsid w:val="008D7966"/>
    <w:rsid w:val="008E28D7"/>
    <w:rsid w:val="008E79E5"/>
    <w:rsid w:val="00926008"/>
    <w:rsid w:val="009608D6"/>
    <w:rsid w:val="009769B7"/>
    <w:rsid w:val="00987645"/>
    <w:rsid w:val="009B0D47"/>
    <w:rsid w:val="009B224B"/>
    <w:rsid w:val="009C4D71"/>
    <w:rsid w:val="009C79FE"/>
    <w:rsid w:val="009D31BD"/>
    <w:rsid w:val="009E60CC"/>
    <w:rsid w:val="00A07CCC"/>
    <w:rsid w:val="00A26085"/>
    <w:rsid w:val="00A36F35"/>
    <w:rsid w:val="00A4355F"/>
    <w:rsid w:val="00A4401F"/>
    <w:rsid w:val="00A5155A"/>
    <w:rsid w:val="00A532FE"/>
    <w:rsid w:val="00A7600B"/>
    <w:rsid w:val="00A8009A"/>
    <w:rsid w:val="00A83FB6"/>
    <w:rsid w:val="00A9358F"/>
    <w:rsid w:val="00A966DA"/>
    <w:rsid w:val="00A969AE"/>
    <w:rsid w:val="00AA1B80"/>
    <w:rsid w:val="00AB668F"/>
    <w:rsid w:val="00AB66BE"/>
    <w:rsid w:val="00AD10F0"/>
    <w:rsid w:val="00AD3BD4"/>
    <w:rsid w:val="00AD761C"/>
    <w:rsid w:val="00AE1E84"/>
    <w:rsid w:val="00B17CB0"/>
    <w:rsid w:val="00B503F7"/>
    <w:rsid w:val="00B527DA"/>
    <w:rsid w:val="00B75789"/>
    <w:rsid w:val="00B834B0"/>
    <w:rsid w:val="00B94318"/>
    <w:rsid w:val="00BD69C4"/>
    <w:rsid w:val="00BE6797"/>
    <w:rsid w:val="00BF062B"/>
    <w:rsid w:val="00BF5A65"/>
    <w:rsid w:val="00C06F82"/>
    <w:rsid w:val="00C2374F"/>
    <w:rsid w:val="00C3347D"/>
    <w:rsid w:val="00C35779"/>
    <w:rsid w:val="00C60B40"/>
    <w:rsid w:val="00C620DD"/>
    <w:rsid w:val="00C75F21"/>
    <w:rsid w:val="00CB0602"/>
    <w:rsid w:val="00CD0420"/>
    <w:rsid w:val="00D06001"/>
    <w:rsid w:val="00D06DBA"/>
    <w:rsid w:val="00D16FD5"/>
    <w:rsid w:val="00D35087"/>
    <w:rsid w:val="00D35FDB"/>
    <w:rsid w:val="00D4331A"/>
    <w:rsid w:val="00D538F7"/>
    <w:rsid w:val="00D5396C"/>
    <w:rsid w:val="00D85713"/>
    <w:rsid w:val="00DA6BB8"/>
    <w:rsid w:val="00DD24DE"/>
    <w:rsid w:val="00DD3B5C"/>
    <w:rsid w:val="00DD3E17"/>
    <w:rsid w:val="00DD4C24"/>
    <w:rsid w:val="00E0566E"/>
    <w:rsid w:val="00E05705"/>
    <w:rsid w:val="00E407F9"/>
    <w:rsid w:val="00E67F14"/>
    <w:rsid w:val="00E7219D"/>
    <w:rsid w:val="00E90342"/>
    <w:rsid w:val="00EA27D9"/>
    <w:rsid w:val="00EA3500"/>
    <w:rsid w:val="00EB0B76"/>
    <w:rsid w:val="00EB1305"/>
    <w:rsid w:val="00F00195"/>
    <w:rsid w:val="00F0769C"/>
    <w:rsid w:val="00F27D50"/>
    <w:rsid w:val="00F406B4"/>
    <w:rsid w:val="00F51847"/>
    <w:rsid w:val="00F73EC3"/>
    <w:rsid w:val="00F8382D"/>
    <w:rsid w:val="00F9109A"/>
    <w:rsid w:val="00F955AF"/>
    <w:rsid w:val="00FA2811"/>
    <w:rsid w:val="00FB4921"/>
    <w:rsid w:val="00FC1E84"/>
    <w:rsid w:val="00FC7499"/>
    <w:rsid w:val="00FD09C5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3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3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3184-BCFE-4449-9DD0-5B3519BE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52</cp:revision>
  <cp:lastPrinted>2023-02-17T18:09:00Z</cp:lastPrinted>
  <dcterms:created xsi:type="dcterms:W3CDTF">2020-05-04T12:27:00Z</dcterms:created>
  <dcterms:modified xsi:type="dcterms:W3CDTF">2023-08-14T15:08:00Z</dcterms:modified>
</cp:coreProperties>
</file>